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bookmarkStart w:id="3" w:name="_GoBack"/>
      <w:r/>
      <w:bookmarkEnd w:id="3"/>
      <w:r>
        <w:rPr>
          <w:rFonts w:hint="default" w:ascii="Times New Roman" w:hAnsi="Times New Roman" w:eastAsia="方正小标宋_GBK" w:cs="Times New Roman"/>
          <w:kern w:val="0"/>
          <w:sz w:val="44"/>
          <w:szCs w:val="4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-844550</wp:posOffset>
                </wp:positionV>
                <wp:extent cx="7560310" cy="3727450"/>
                <wp:effectExtent l="0" t="0" r="2540" b="6350"/>
                <wp:wrapNone/>
                <wp:docPr id="1" name="图片 2" descr="温州理工学院文件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2" descr="温州理工学院文件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7560310" cy="3727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text;margin-left:-90.0pt;mso-position-horizontal:absolute;mso-position-vertical-relative:text;margin-top:-66.5pt;mso-position-vertical:absolute;width:595.3pt;height:293.5pt;mso-wrap-distance-left:9.0pt;mso-wrap-distance-top:0.0pt;mso-wrap-distance-right:9.0pt;mso-wrap-distance-bottom:0.0pt;" stroked="f">
                <v:path textboxrect="0,0,0,0"/>
                <v:imagedata r:id="rId8" o:title=""/>
              </v:shape>
            </w:pict>
          </mc:Fallback>
        </mc:AlternateContent>
      </w:r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snapToGrid/>
        <w:overflowPunct/>
        <w:kinsoku/>
        <w:wordWrap/>
        <w:topLinePunct/>
        <w:autoSpaceDE/>
        <w:autoSpaceDN/>
        <w:adjustRightInd/>
        <w:ind w:right="0"/>
        <w:jc w:val="center"/>
        <w:keepLines w:val="0"/>
        <w:keepNext w:val="0"/>
        <w:pageBreakBefore w:val="0"/>
        <w:spacing w:line="600" w:lineRule="exact"/>
        <w:widowControl w:val="off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bidi w:val="0"/>
        <w:textAlignment w:val="auto"/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温理工行政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〔202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〕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5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 xml:space="preserve">号</w:t>
      </w:r>
      <w:r/>
    </w:p>
    <w:p>
      <w:pPr>
        <w:snapToGrid/>
        <w:overflowPunct/>
        <w:kinsoku/>
        <w:wordWrap/>
        <w:topLinePunct/>
        <w:autoSpaceDE/>
        <w:autoSpaceDN/>
        <w:adjustRightInd/>
        <w:ind w:right="0"/>
        <w:jc w:val="center"/>
        <w:keepLines w:val="0"/>
        <w:keepNext w:val="0"/>
        <w:pageBreakBefore w:val="0"/>
        <w:spacing w:line="600" w:lineRule="exact"/>
        <w:widowControl w:val="off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bidi w:val="0"/>
        <w:textAlignment w:val="auto"/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r>
      <w:r/>
    </w:p>
    <w:p>
      <w:pPr>
        <w:snapToGrid/>
        <w:overflowPunct/>
        <w:kinsoku/>
        <w:wordWrap/>
        <w:topLinePunct/>
        <w:autoSpaceDE/>
        <w:autoSpaceDN/>
        <w:adjustRightInd/>
        <w:ind w:left="0" w:right="0" w:leftChars="0"/>
        <w:jc w:val="center"/>
        <w:keepLines w:val="0"/>
        <w:keepNext w:val="0"/>
        <w:pageBreakBefore w:val="0"/>
        <w:spacing w:beforeAutospacing="0" w:afterAutospacing="0" w:line="600" w:lineRule="exact"/>
        <w:widowControl w:val="off"/>
        <w:rPr>
          <w:rFonts w:hint="default" w:ascii="Times New Roman" w:hAnsi="Times New Roman" w:eastAsia="方正小标宋_GBK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bidi w:val="0"/>
        <w:textAlignment w:val="auto"/>
      </w:pPr>
      <w:r>
        <w:rPr>
          <w:rFonts w:hint="default" w:ascii="Times New Roman" w:hAnsi="Times New Roman" w:eastAsia="方正小标宋_GBK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r>
      <w:r/>
    </w:p>
    <w:p>
      <w:pPr>
        <w:jc w:val="center"/>
        <w:spacing w:line="580" w:lineRule="exact"/>
        <w:rPr>
          <w:rFonts w:hint="default" w:ascii="Times New Roman" w:hAnsi="Times New Roman" w:eastAsia="方正小标宋_GBK" w:cs="Times New Roman"/>
          <w:snapToGrid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snapToGrid/>
          <w:color w:val="auto"/>
          <w:kern w:val="0"/>
          <w:sz w:val="44"/>
          <w:szCs w:val="44"/>
          <w:highlight w:val="none"/>
          <w:lang w:val="en-US" w:eastAsia="zh-CN" w:bidi="ar-SA"/>
        </w:rPr>
        <w:t xml:space="preserve">关于印发《温州理工学院科学研究项目分类办法》的通知</w:t>
      </w:r>
      <w:r/>
    </w:p>
    <w:p>
      <w:pPr>
        <w:snapToGrid/>
        <w:overflowPunct/>
        <w:kinsoku/>
        <w:wordWrap/>
        <w:topLinePunct/>
        <w:autoSpaceDE/>
        <w:autoSpaceDN/>
        <w:adjustRightInd/>
        <w:ind w:left="0" w:right="0" w:firstLine="420" w:leftChars="0"/>
        <w:jc w:val="center"/>
        <w:keepLines w:val="0"/>
        <w:keepNext w:val="0"/>
        <w:pageBreakBefore w:val="0"/>
        <w:spacing w:beforeAutospacing="0" w:afterAutospacing="0" w:line="600" w:lineRule="exact"/>
        <w:widowControl w:val="off"/>
        <w:rPr>
          <w:rFonts w:hint="default" w:ascii="Times New Roman" w:hAnsi="Times New Roman" w:eastAsia="仿宋_GB2312" w:cs="Times New Roman"/>
          <w:snapToGrid/>
          <w:color w:val="auto"/>
          <w:kern w:val="0"/>
          <w:sz w:val="28"/>
          <w:szCs w:val="20"/>
          <w:highlight w:val="none"/>
          <w:lang w:eastAsia="zh-CN"/>
        </w:rPr>
        <w:bidi w:val="0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auto"/>
          <w:kern w:val="0"/>
          <w:sz w:val="28"/>
          <w:szCs w:val="20"/>
          <w:highlight w:val="none"/>
          <w:lang w:eastAsia="zh-CN"/>
        </w:rPr>
      </w:r>
      <w:r/>
    </w:p>
    <w:p>
      <w:pPr>
        <w:snapToGrid/>
        <w:overflowPunct/>
        <w:kinsoku/>
        <w:wordWrap/>
        <w:topLinePunct/>
        <w:autoSpaceDE/>
        <w:autoSpaceDN/>
        <w:adjustRightInd w:val="0"/>
        <w:ind w:left="0" w:right="0" w:leftChars="0"/>
        <w:jc w:val="both"/>
        <w:keepLines w:val="0"/>
        <w:keepNext w:val="0"/>
        <w:pageBreakBefore w:val="0"/>
        <w:spacing w:beforeAutospacing="0" w:afterAutospacing="0" w:line="600" w:lineRule="exact"/>
        <w:widowControl w:val="off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bidi w:val="0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各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二级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学院、各部门：</w:t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jc w:val="left"/>
        <w:keepLines w:val="0"/>
        <w:keepNext w:val="0"/>
        <w:pageBreakBefore w:val="0"/>
        <w:spacing w:line="600" w:lineRule="exact"/>
        <w:widowControl w:val="off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bidi w:val="0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经202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6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年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10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月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10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日第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15</w:t>
      </w:r>
      <w:r>
        <w:rPr>
          <w:rFonts w:hint="default" w:ascii="Times New Roman" w:hAnsi="Times New Roman" w:eastAsia="仿宋_GB2312" w:cs="Times New Roman"/>
          <w:b w:val="0"/>
          <w:bCs w:val="0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次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校长办公会，现将《温州理工学院科学研究项目分类办法》印发给你们，请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val="en-US" w:eastAsia="zh-CN"/>
        </w:rPr>
        <w:t xml:space="preserve">认真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t xml:space="preserve">遵照执行。</w:t>
      </w:r>
      <w:r/>
    </w:p>
    <w:p>
      <w:pPr>
        <w:snapToGrid/>
        <w:overflowPunct/>
        <w:kinsoku/>
        <w:wordWrap/>
        <w:topLinePunct/>
        <w:autoSpaceDE/>
        <w:autoSpaceDN/>
        <w:adjustRightInd w:val="0"/>
        <w:ind w:left="0" w:right="0" w:firstLine="640" w:leftChars="0" w:firstLineChars="200"/>
        <w:jc w:val="both"/>
        <w:keepLines w:val="0"/>
        <w:keepNext w:val="0"/>
        <w:pageBreakBefore w:val="0"/>
        <w:spacing w:beforeAutospacing="0" w:afterAutospacing="0" w:line="600" w:lineRule="exact"/>
        <w:widowControl w:val="off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bidi w:val="0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r>
      <w:r/>
    </w:p>
    <w:p>
      <w:pPr>
        <w:snapToGrid/>
        <w:overflowPunct/>
        <w:kinsoku/>
        <w:wordWrap/>
        <w:topLinePunct/>
        <w:autoSpaceDE/>
        <w:autoSpaceDN/>
        <w:adjustRightInd w:val="0"/>
        <w:ind w:left="0" w:right="0" w:firstLine="640" w:leftChars="0" w:firstLineChars="200"/>
        <w:jc w:val="both"/>
        <w:keepLines w:val="0"/>
        <w:keepNext w:val="0"/>
        <w:pageBreakBefore w:val="0"/>
        <w:spacing w:beforeAutospacing="0" w:afterAutospacing="0" w:line="600" w:lineRule="exact"/>
        <w:widowControl w:val="off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  <w:bidi w:val="0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32"/>
          <w:highlight w:val="none"/>
          <w:lang w:eastAsia="zh-CN"/>
        </w:rPr>
      </w:r>
      <w:r/>
    </w:p>
    <w:p>
      <w:pPr>
        <w:snapToGrid w:val="0"/>
        <w:overflowPunct/>
        <w:kinsoku/>
        <w:wordWrap/>
        <w:topLinePunct/>
        <w:autoSpaceDE/>
        <w:autoSpaceDN/>
        <w:adjustRightInd w:val="0"/>
        <w:ind w:left="0" w:right="0" w:firstLine="640" w:leftChars="0" w:firstLineChars="200"/>
        <w:jc w:val="center"/>
        <w:keepLines w:val="0"/>
        <w:keepNext w:val="0"/>
        <w:pageBreakBefore w:val="0"/>
        <w:spacing w:beforeAutospacing="0" w:afterAutospacing="0" w:line="600" w:lineRule="exact"/>
        <w:widowControl w:val="off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bidi w:val="0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 xml:space="preserve">                     温州理工学院</w:t>
      </w:r>
      <w:r/>
    </w:p>
    <w:p>
      <w:pPr>
        <w:snapToGrid w:val="0"/>
        <w:overflowPunct/>
        <w:kinsoku/>
        <w:wordWrap/>
        <w:topLinePunct/>
        <w:autoSpaceDE/>
        <w:autoSpaceDN/>
        <w:adjustRightInd w:val="0"/>
        <w:ind w:left="0" w:right="0" w:firstLine="640" w:leftChars="0" w:firstLineChars="200"/>
        <w:jc w:val="center"/>
        <w:keepLines w:val="0"/>
        <w:keepNext w:val="0"/>
        <w:pageBreakBefore w:val="0"/>
        <w:spacing w:beforeAutospacing="0" w:afterAutospacing="0" w:line="600" w:lineRule="exact"/>
        <w:widowControl w:val="off"/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bidi w:val="0"/>
        <w:textAlignment w:val="auto"/>
      </w:pP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 xml:space="preserve">                      202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val="en-US" w:eastAsia="zh-CN"/>
        </w:rPr>
        <w:t xml:space="preserve">6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 xml:space="preserve">年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val="en-US" w:eastAsia="zh-CN"/>
        </w:rPr>
        <w:t xml:space="preserve">10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 xml:space="preserve">月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val="en-US" w:eastAsia="zh-CN"/>
        </w:rPr>
        <w:t xml:space="preserve">15</w:t>
      </w:r>
      <w:r>
        <w:rPr>
          <w:rFonts w:hint="default" w:ascii="Times New Roman" w:hAnsi="Times New Roman" w:eastAsia="仿宋_GB2312" w:cs="Times New Roman"/>
          <w:snapToGrid/>
          <w:color w:val="auto"/>
          <w:kern w:val="2"/>
          <w:sz w:val="32"/>
          <w:szCs w:val="28"/>
          <w:highlight w:val="none"/>
          <w:lang w:eastAsia="zh-CN"/>
        </w:rPr>
        <w:t xml:space="preserve">日</w:t>
      </w:r>
      <w:r/>
    </w:p>
    <w:p>
      <w:pPr>
        <w:rPr>
          <w:rFonts w:hint="eastAsia" w:ascii="方正小标宋_GBK" w:hAnsi="宋体" w:eastAsia="方正小标宋_GBK"/>
          <w:bCs/>
          <w:kern w:val="0"/>
          <w:sz w:val="44"/>
          <w:szCs w:val="44"/>
        </w:rPr>
      </w:pPr>
      <w:r>
        <w:rPr>
          <w:rFonts w:hint="eastAsia" w:ascii="方正小标宋_GBK" w:hAnsi="宋体" w:eastAsia="方正小标宋_GBK"/>
          <w:bCs/>
          <w:kern w:val="0"/>
          <w:sz w:val="44"/>
          <w:szCs w:val="44"/>
        </w:rPr>
        <w:br w:type="page" w:clear="all"/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jc w:val="center"/>
        <w:keepLines/>
        <w:keepNext/>
        <w:pageBreakBefore w:val="0"/>
        <w:spacing w:before="0" w:after="0" w:line="560" w:lineRule="exact"/>
        <w:widowControl w:val="off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44"/>
          <w:sz w:val="44"/>
          <w:szCs w:val="44"/>
          <w:highlight w:val="none"/>
          <w:lang w:val="en-US" w:eastAsia="zh-CN" w:bidi="en-US"/>
        </w:rPr>
        <w:outlineLvl w:val="0"/>
        <w:bidi w:val="0"/>
        <w:textAlignment w:val="auto"/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44"/>
          <w:sz w:val="44"/>
          <w:szCs w:val="44"/>
          <w:highlight w:val="none"/>
          <w:lang w:val="en-US" w:eastAsia="zh-CN" w:bidi="en-US"/>
        </w:rPr>
      </w:r>
      <w:bookmarkStart w:id="2" w:name="_Toc22668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44"/>
          <w:sz w:val="44"/>
          <w:szCs w:val="44"/>
          <w:highlight w:val="none"/>
          <w:lang w:val="en-US" w:eastAsia="zh-CN" w:bidi="en-US"/>
        </w:rPr>
        <w:t xml:space="preserve">温州理工学院科学研究项目分类办法</w:t>
      </w:r>
      <w:bookmarkEnd w:id="2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44"/>
          <w:sz w:val="44"/>
          <w:szCs w:val="44"/>
          <w:highlight w:val="none"/>
          <w:lang w:val="en-US" w:eastAsia="zh-CN" w:bidi="en-US"/>
        </w:rPr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ind w:firstLine="640" w:firstLineChars="200"/>
        <w:jc w:val="both"/>
        <w:keepLines w:val="0"/>
        <w:keepNext w:val="0"/>
        <w:pageBreakBefore w:val="0"/>
        <w:spacing w:line="560" w:lineRule="exact"/>
        <w:widowControl w:val="off"/>
        <w:rPr>
          <w:rFonts w:hint="eastAsia" w:ascii="仿宋_GB2312" w:hAnsi="仿宋_GB2312" w:eastAsia="仿宋_GB2312" w:cs="仿宋_GB2312"/>
          <w:color w:val="auto"/>
          <w:sz w:val="32"/>
          <w:szCs w:val="32"/>
        </w:rPr>
        <w:bidi w:val="0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ind w:firstLine="640" w:firstLineChars="200"/>
        <w:jc w:val="both"/>
        <w:keepLines w:val="0"/>
        <w:keepNext w:val="0"/>
        <w:pageBreakBefore w:val="0"/>
        <w:spacing w:line="560" w:lineRule="exact"/>
        <w:widowControl w:val="off"/>
        <w:rPr>
          <w:rFonts w:hint="eastAsia" w:ascii="仿宋_GB2312" w:hAnsi="仿宋_GB2312" w:eastAsia="仿宋_GB2312" w:cs="仿宋_GB2312"/>
          <w:color w:val="auto"/>
          <w:sz w:val="32"/>
          <w:szCs w:val="32"/>
        </w:rPr>
        <w:bidi w:val="0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为进一步规范学校科研项目的认定、评价与管理，结合国家和省市相关政策，特制定本办法。</w:t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ind w:firstLine="640" w:firstLineChars="200"/>
        <w:jc w:val="both"/>
        <w:keepLines w:val="0"/>
        <w:keepNext w:val="0"/>
        <w:pageBreakBefore w:val="0"/>
        <w:spacing w:line="560" w:lineRule="exact"/>
        <w:widowControl w:val="off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  <w:bidi w:val="0"/>
        <w:textAlignment w:val="auto"/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eastAsia="zh-CN"/>
        </w:rPr>
        <w:t xml:space="preserve">一、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</w:rPr>
        <w:t xml:space="preserve">按项目来源和经费额度，以温州理工学院为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eastAsia="zh-CN"/>
        </w:rPr>
        <w:t xml:space="preserve">第一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</w:rPr>
        <w:t xml:space="preserve">承担单位（表格中明确作出规定的，从其规定）的科研项目共分为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eastAsia="zh-CN"/>
        </w:rPr>
        <w:t xml:space="preserve">九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</w:rPr>
        <w:t xml:space="preserve">个类别、两种性质（A、B）</w:t>
      </w: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-US" w:eastAsia="zh-CN"/>
        </w:rPr>
        <w:t xml:space="preserve">。</w:t>
      </w:r>
      <w:r/>
    </w:p>
    <w:tbl>
      <w:tblPr>
        <w:tblStyle w:val="60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  <w:tblCaption w:val="Table42o6"/>
      </w:tblPr>
      <w:tblGrid>
        <w:gridCol w:w="544"/>
        <w:gridCol w:w="497"/>
        <w:gridCol w:w="7481"/>
      </w:tblGrid>
      <w:tr>
        <w:trPr>
          <w:jc w:val="center"/>
          <w:trHeight w:val="454"/>
          <w:tblHeader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textDirection w:val="lrTb"/>
            <w:noWrap w:val="false"/>
          </w:tcPr>
          <w:p>
            <w:pPr>
              <w:snapToGrid w:val="0"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 xml:space="preserve">类别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 w:val="0"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 xml:space="preserve">性质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 w:val="0"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  <w:highlight w:val="none"/>
              </w:rPr>
              <w:t xml:space="preserve">项       目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一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A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国家自然科学基金重大项目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国家社会科学基金重大项目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（含国家社会科学基金重大专项、国家社会科学基金重大招标项目、国家社会科学基金单列学科重大项目等）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国家自然科学基金重大研究计划集成项目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国家自然科学基金基础科学中心项目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国家自然科学基金卓越研究群体项目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Calibri" w:hAnsi="Calibri" w:eastAsia="宋体" w:cs="Times New Roman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国家自然科学基金创新研究群体项目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国家科技重大专项（课题）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国家重点研发计划项目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国家自然科学基金重大科研仪器研制项目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国家重大科学仪器设备开发专项项目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国家自然科学基金青年科学基金项目（A类）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[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原杰出青年科学基金项目]及延续资助项目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国家自然科学基金联合基金项目集成项目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教育部社科基金重大招标项目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Calibri" w:hAnsi="Calibri" w:eastAsia="宋体" w:cs="Times New Roman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国防科技计划项目（到校经费≥1000万元）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continue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B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横向项目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单项到校经费≥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1000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万元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Calibri" w:hAnsi="Calibri" w:eastAsia="宋体" w:cs="Times New Roman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成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果转化项目单项到校经费≥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500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万元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二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A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国家自然科学基金重点项目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国家社会科学基金重点项目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（含国家社科基金年度重点项目、国家社科基金专项重点项目、国家社科基金后期资助重点项目、国家社科基金单列学科重点项目等）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国家社科基金冷门绝学研究专项（学术团队项目）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国家自然科学基金重大研究计划重点支持项目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国家自然科学基金联合基金项目重点支持项目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</w:t>
            </w: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4"/>
                <w:szCs w:val="24"/>
                <w:highlight w:val="none"/>
              </w:rPr>
              <w:t xml:space="preserve">重点国际（地区）合作研究项目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国家自然科学基金面向全球的科学研究基金项目（合作创新研究团队项目、重大科学基础设施国际合作研究计划专项项目）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国家重点研发计划国际合作重点专项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（政府间国际科技创新合作项目、战略性科技创新合作项目）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国家重点研发计划项目青年项目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（青年科学家项目）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国家自然科学基金青年科学基金项目（B类）[原优秀青年科学基金项目]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教育部人文社科研究重大项目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（含教育部重大攻关项目等）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国家自然科学基金重大项目课题、国家科技重大专项（课题）一级子课题、国家重点研发计划项目课题（到校经费≥300万元）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Calibri" w:hAnsi="Calibri" w:eastAsia="宋体" w:cs="Times New Roman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国防科技计划项目（到校经费≥500万元）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continue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B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横向项目单项到校经费≥800万元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Calibri" w:hAnsi="Calibri" w:eastAsia="宋体" w:cs="Times New Roman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成果转化项目单项到校经费≥400万元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三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A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国家自然科学基金组织间国际（地区）合作研究项目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国家重大基础研究前期研究专项课题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国家自然科学基金外国资深学者研究基金项目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海外及港澳学者合作研究基金延续资助项目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国家社会科学基金研究专项（冷门绝学研究专项学者个人项目、边疆问题研究专项等参照国家社科基金重点项目标准资助的项目）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教育部科技研究重大项目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国家自然科学基金重大研究计划培育项目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 xml:space="preserve">国家自然科学基金重大项目课题、国家科技重大专项（课题）一级子课题、国家重点研发计划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 xml:space="preserve">项目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eastAsia="zh-CN"/>
              </w:rPr>
              <w:t xml:space="preserve">课题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（到校经费＜300万元）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Calibri" w:hAnsi="Calibri" w:eastAsia="宋体" w:cs="Times New Roman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国防科技计划项目（到校经费≥300万元）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continue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B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横向项目单项到校经费≥500万元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成果转化项目单项到校经费≥250万元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四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A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国家自然科学基金面上项目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国家自然科学基金外国优秀青年学者研究基金项目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国家社会科学基金项目（含国家社科基金年度一般项目和青年项目、国家社科基金专项一般项目、国家社科基金后期资助一般项目、国家社科基金中华学术外译一般项目、国家社科基金单列学科一般项目和青年项目等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国家艺术基金（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 xml:space="preserve">到账经费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≥20万元）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国家自然科学基金联合基金培育项目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Calibri" w:hAnsi="Calibri" w:eastAsia="宋体" w:cs="Times New Roman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国家社科基金重大项目一级子课题（到校经费≥10万元）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国防科技计划项目（到校经费≥100万元）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国家各部委及国务院直属机构资助的其他各类科研项目（理工科到校经费≥100万元，人文社科到校经费≥25万元）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省自然科学基金重大项目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省软科学研究计划重大项目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default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省自然科学基金青年科学基金项目A类[原杰青项目]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省社会科学规划重大项目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省科技重点研发计划项目（到校经费≥200万元）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省“尖兵”“领雁”研发攻关计划项目（到校经费≥200万元）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continue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B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横向项目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单项到校经费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≥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 xml:space="preserve">3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00万元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Calibri" w:hAnsi="Calibri" w:eastAsia="宋体" w:cs="Times New Roman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成果转化项目单项到校经费≥150万元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五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A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国家自然科学基金青年科学基金项目（C类）[原青年科学基金项目]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国家自然科学基金外国青年学者研究基金项目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中国科协青年人才托举工程（资助项目）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海外及港澳学者合作研究基金两年期项目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国家社会科学基金重大项目一级子课题（到校经费＜10万元）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国家艺术基金（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t xml:space="preserve">到账经费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＜20万元）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国家重点研发计划专项课题子课题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全国高校古籍整理重大项目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国防科技计划项目（到校经费≥50万元）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国家语委年度重大科研项目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国家各部委及国务院直属机构资助的其他各类科研项目（理工科到校经费≥50万元，人文社科到校经费≥12.5万元）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教育部重点项目（含科技研究重点项目、全国教育科学规划教育部重点项目）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教育部人文社科重点研究基地重大项目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省科技重点研发计划项目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（到校经费＜200万元）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</w:rPr>
              <w:t xml:space="preserve">省“尖兵”“领雁”研发攻关计划项目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（到校经费＜200万元）</w:t>
            </w:r>
            <w:r/>
          </w:p>
          <w:p>
            <w:pPr>
              <w:autoSpaceDE/>
              <w:autoSpaceDN/>
              <w:adjustRightInd/>
              <w:jc w:val="both"/>
              <w:spacing w:line="240" w:lineRule="auto"/>
              <w:tabs>
                <w:tab w:val="left" w:pos="1772" w:leader="none"/>
              </w:tabs>
              <w:rPr>
                <w:rFonts w:hint="eastAsia" w:ascii="Calibri" w:hAnsi="Calibri" w:eastAsia="宋体" w:cs="Times New Roman"/>
                <w:highlight w:val="none"/>
                <w:lang w:val="en-US" w:eastAsia="zh-CN"/>
              </w:rPr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省自然科学基金重点项目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省自然科学基金青年科学基金项目B类[原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</w:rPr>
              <w:t xml:space="preserve">青稞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项目]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both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 w:val="24"/>
                <w:szCs w:val="24"/>
                <w:highlight w:val="none"/>
                <w:lang w:val="en-US" w:eastAsia="zh-CN" w:bidi="ar-SA"/>
              </w:rPr>
              <w:t xml:space="preserve">省社会科学规划重点项目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Calibri" w:hAnsi="Calibri" w:eastAsia="宋体" w:cs="Times New Roman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厅局级科技项目（到校经费≥200万元）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continue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B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横向项目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单项到校经费≥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200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万元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Calibri" w:hAnsi="Calibri" w:eastAsia="宋体" w:cs="Times New Roman"/>
                <w:highlight w:val="none"/>
                <w:lang w:val="en-US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成果转化项目单项到校经费≥100万元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六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A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Calibri" w:hAnsi="Calibri" w:eastAsia="宋体" w:cs="Times New Roman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国家自然科学基金应急管理项目、数学天元青年基金项目、小额资助项目、海外及港澳学者合作研究基金一年期项目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全国高校古籍整理重点项目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中国科协青年人才托举工程（经费自筹项目）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国防科技计划项目（到校经费≥30万元）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国家语委年度重点科研项目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国家各部委及国务院直属机构资助的其他各类科研项目（理工科到校经费≥20万元，人文社科到校经费≥5万元）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省自然科学基金重点项目（经费自筹）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省公益技术应用研究计划重点项目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省软科学研究计划重点项目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教育部人文社科研究一般项目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教育部人文社科研究专项项目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厅局级科技项目（到校经费≥100万元）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continue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B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横向项目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单项到校经费≥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100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万元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Calibri" w:hAnsi="Calibri" w:eastAsia="宋体" w:cs="Times New Roman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成果转化项目单项到校经费≥50万元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七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A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全国教育科学规划教育部重点项目（经费自筹）、青年项目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全国高校古籍整理一般项目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中国博士后科学基金项目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国防科技计划项目（到校经费≥10万元）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国家语委年度一般科研项目（含委托项目）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国家各部委及国务院直属机构资助的其他各类科研项目（理工科到校经费＜20万元，人文社科到校经费＜5万元）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教育部、全国教育科学规划项目（经费自筹）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最高人民检察院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 xml:space="preserve">理论研究课题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eastAsia="zh-CN"/>
              </w:rPr>
              <w:t xml:space="preserve"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 xml:space="preserve">含应用理论研究课题）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最高人民法院（含中国法学会）研究课题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省自然科学基金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面上项目[原探索项目/一般项目]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省自然科学基金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青年科学基金项目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C类[原青基项目]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省社会科学规划一般项目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专项项目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自筹项目、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学科共建项目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省公益技术应用研究计划一般项目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省软科学研究计划一般项目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浙江省高校重大人文社科攻关计划项目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国家/全国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重点实验室开放基金项目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厅局级科技项目（到校经费≥50万元）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温州市哲学社会科学规划课题重大项目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continue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B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横向项目单项到校经费≥50万元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Calibri" w:hAnsi="Calibri" w:eastAsia="宋体" w:cs="Times New Roman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成果转化项目单项到校经费≥25万元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restart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八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A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国家各部委及国务院直属机构资助的其他各类科研项目（经费自筹）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其它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市厅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纵向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项目</w:t>
            </w:r>
            <w:r/>
          </w:p>
        </w:tc>
      </w:tr>
      <w:tr>
        <w:trPr>
          <w:jc w:val="center"/>
          <w:trHeight w:val="454"/>
        </w:trPr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66" w:type="dxa"/>
            <w:vAlign w:val="center"/>
            <w:vMerge w:val="continue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516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 xml:space="preserve">B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横向项目单项到校经费≥20万元</w:t>
            </w:r>
            <w:r/>
          </w:p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成果转化项目单项到校经费≥10万元</w:t>
            </w:r>
            <w:r/>
          </w:p>
        </w:tc>
      </w:tr>
      <w:tr>
        <w:trPr>
          <w:jc w:val="center"/>
          <w:trHeight w:val="454"/>
        </w:trPr>
        <w:tc>
          <w:tcPr>
            <w:gridSpan w:val="2"/>
            <w:tcMar>
              <w:left w:w="108" w:type="dxa"/>
              <w:top w:w="0" w:type="dxa"/>
              <w:right w:w="108" w:type="dxa"/>
              <w:bottom w:w="0" w:type="dxa"/>
            </w:tcMar>
            <w:tcW w:w="1082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jc w:val="center"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九</w:t>
            </w:r>
            <w:r/>
          </w:p>
        </w:tc>
        <w:tc>
          <w:tcPr>
            <w:tcMar>
              <w:left w:w="108" w:type="dxa"/>
              <w:top w:w="0" w:type="dxa"/>
              <w:right w:w="108" w:type="dxa"/>
              <w:bottom w:w="0" w:type="dxa"/>
            </w:tcMar>
            <w:tcW w:w="7979" w:type="dxa"/>
            <w:vAlign w:val="center"/>
            <w:textDirection w:val="lrTb"/>
            <w:noWrap w:val="false"/>
          </w:tcPr>
          <w:p>
            <w:pPr>
              <w:snapToGrid/>
              <w:overflowPunct/>
              <w:kinsoku/>
              <w:wordWrap/>
              <w:topLinePunct w:val="0"/>
              <w:autoSpaceDE/>
              <w:autoSpaceDN/>
              <w:adjustRightInd/>
              <w:keepLines w:val="0"/>
              <w:keepNext w:val="0"/>
              <w:pageBreakBefore w:val="0"/>
              <w:spacing w:line="240" w:lineRule="auto"/>
              <w:widowControl w:val="off"/>
              <w:tabs>
                <w:tab w:val="left" w:pos="1772" w:leader="none"/>
              </w:tabs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bidi w:val="0"/>
              <w:textAlignment w:val="auto"/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 xml:space="preserve">校级科研项目</w:t>
            </w:r>
            <w:r/>
          </w:p>
        </w:tc>
      </w:tr>
    </w:tbl>
    <w:p>
      <w:pPr>
        <w:snapToGrid/>
        <w:overflowPunct/>
        <w:kinsoku/>
        <w:wordWrap/>
        <w:topLinePunct w:val="0"/>
        <w:autoSpaceDE/>
        <w:autoSpaceDN/>
        <w:adjustRightInd/>
        <w:ind w:firstLine="640" w:firstLineChars="200"/>
        <w:jc w:val="both"/>
        <w:keepLines w:val="0"/>
        <w:keepNext w:val="0"/>
        <w:pageBreakBefore w:val="0"/>
        <w:spacing w:before="0" w:beforeLines="0" w:afterLines="0" w:line="520" w:lineRule="exact"/>
        <w:shd w:val="clear" w:color="auto" w:fill="ffffff"/>
        <w:widowControl w:val="off"/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-SA"/>
        </w:rPr>
        <w:bidi w:val="0"/>
        <w:textAlignment w:val="auto"/>
      </w:pPr>
      <w:r>
        <w:rPr>
          <w:rFonts w:hint="eastAsia" w:ascii="仿宋_GB2312" w:hAnsi="仿宋_GB2312" w:eastAsia="仿宋_GB2312" w:cs="仿宋_GB2312"/>
          <w:color w:val="auto"/>
          <w:spacing w:val="0"/>
          <w:kern w:val="0"/>
          <w:sz w:val="32"/>
          <w:szCs w:val="32"/>
          <w:lang w:val="en-US" w:eastAsia="zh-CN" w:bidi="ar-SA"/>
        </w:rPr>
        <w:t xml:space="preserve">二、A类为纵向项目，B类为横向项目、成果转化项目。</w:t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ind w:firstLine="640" w:firstLineChars="200"/>
        <w:jc w:val="both"/>
        <w:keepLines w:val="0"/>
        <w:keepNext w:val="0"/>
        <w:pageBreakBefore w:val="0"/>
        <w:spacing w:before="0" w:beforeLines="0" w:afterLines="0" w:line="520" w:lineRule="exact"/>
        <w:shd w:val="clear" w:color="auto" w:fill="ffffff"/>
        <w:widowControl w:val="off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bidi w:val="0"/>
        <w:textAlignment w:val="auto"/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三、所有项目须事先已在学校科研处办理申报手续。</w:t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ind w:firstLine="640" w:firstLineChars="200"/>
        <w:jc w:val="both"/>
        <w:keepLines w:val="0"/>
        <w:keepNext w:val="0"/>
        <w:pageBreakBefore w:val="0"/>
        <w:spacing w:before="0" w:beforeLines="0" w:afterLines="0" w:line="520" w:lineRule="exact"/>
        <w:shd w:val="clear" w:color="auto" w:fill="ffffff"/>
        <w:widowControl w:val="off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bidi w:val="0"/>
        <w:textAlignment w:val="auto"/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lang w:val="en-US" w:eastAsia="zh-CN" w:bidi="ar-SA"/>
        </w:rPr>
        <w:t xml:space="preserve">四、未列入本办法的相关纵向科研项目由学校科研处组织专家鉴定。</w:t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ind w:firstLine="640" w:firstLineChars="200"/>
        <w:jc w:val="both"/>
        <w:keepLines w:val="0"/>
        <w:keepNext w:val="0"/>
        <w:pageBreakBefore w:val="0"/>
        <w:spacing w:before="0" w:beforeLines="0" w:afterLines="0" w:line="520" w:lineRule="exact"/>
        <w:shd w:val="clear" w:color="auto" w:fill="ffffff"/>
        <w:widowControl w:val="off"/>
        <w:rPr>
          <w:rFonts w:hint="eastAsia" w:ascii="宋体" w:hAnsi="宋体" w:eastAsia="仿宋_GB2312" w:cs="Times New Roman"/>
          <w:spacing w:val="20"/>
          <w:kern w:val="2"/>
          <w:sz w:val="25"/>
          <w:szCs w:val="32"/>
          <w:highlight w:val="none"/>
          <w:lang w:val="en-US" w:eastAsia="zh-CN" w:bidi="ar-SA"/>
        </w:rPr>
        <w:bidi w:val="0"/>
        <w:textAlignment w:val="auto"/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 xml:space="preserve">五、本办法自2026年1月1日起施行。原《温州理工学院科学研究项目分类办法（试行）》（温理工行政〔2024〕15号）同时废止。</w:t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ind w:firstLine="640" w:firstLineChars="200"/>
        <w:jc w:val="both"/>
        <w:keepLines w:val="0"/>
        <w:keepNext w:val="0"/>
        <w:pageBreakBefore w:val="0"/>
        <w:spacing w:before="0" w:beforeLines="0" w:afterLines="0" w:line="520" w:lineRule="exact"/>
        <w:shd w:val="clear" w:color="auto" w:fill="ffffff"/>
        <w:widowControl w:val="off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bidi w:val="0"/>
        <w:textAlignment w:val="auto"/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 xml:space="preserve">六、本办法施行前已立项但尚未按原《温州理工学院科学研究项目分类办法（试行）》（温理工行政〔2024〕15号）分类认定的项目，可参照本办法进行分类认定。</w:t>
      </w:r>
      <w:r/>
    </w:p>
    <w:p>
      <w:pPr>
        <w:snapToGrid/>
        <w:overflowPunct/>
        <w:kinsoku/>
        <w:wordWrap/>
        <w:topLinePunct w:val="0"/>
        <w:autoSpaceDE/>
        <w:autoSpaceDN/>
        <w:adjustRightInd/>
        <w:ind w:firstLine="640" w:firstLineChars="200"/>
        <w:jc w:val="both"/>
        <w:keepLines w:val="0"/>
        <w:keepNext w:val="0"/>
        <w:pageBreakBefore w:val="0"/>
        <w:spacing w:before="0" w:beforeLines="0" w:afterLines="0" w:line="520" w:lineRule="exact"/>
        <w:shd w:val="clear" w:color="auto" w:fill="ffffff"/>
        <w:widowControl w:val="off"/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bidi w:val="0"/>
        <w:textAlignment w:val="auto"/>
      </w:pPr>
      <w:r>
        <w:rPr>
          <w:rFonts w:hint="eastAsia" w:ascii="仿宋_GB2312" w:hAnsi="仿宋_GB2312" w:eastAsia="仿宋_GB2312" w:cs="仿宋_GB2312"/>
          <w:color w:val="auto"/>
          <w:spacing w:val="0"/>
          <w:kern w:val="2"/>
          <w:sz w:val="32"/>
          <w:szCs w:val="32"/>
          <w:highlight w:val="none"/>
          <w:lang w:val="en-US" w:eastAsia="zh-CN" w:bidi="ar-SA"/>
        </w:rPr>
        <w:t xml:space="preserve">七、本办法由科研处负责解释。</w:t>
      </w:r>
      <w:r/>
    </w:p>
    <w:p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pStyle w:val="603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pStyle w:val="603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pStyle w:val="603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pStyle w:val="603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pStyle w:val="603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p>
      <w:pP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r>
      <w:r/>
    </w:p>
    <w:tbl>
      <w:tblPr>
        <w:tblStyle w:val="602"/>
        <w:tblpPr w:horzAnchor="page" w:tblpX="1921" w:vertAnchor="page" w:tblpY="14784" w:leftFromText="180" w:topFromText="0" w:rightFromText="180" w:bottomFromText="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  <w:tblCaption w:val="Table4dp5"/>
      </w:tblPr>
      <w:tblGrid>
        <w:gridCol w:w="9030"/>
      </w:tblGrid>
      <w:tr>
        <w:trPr>
          <w:trHeight w:val="548"/>
        </w:trPr>
        <w:tc>
          <w:tcPr>
            <w:tcBorders>
              <w:top w:val="single" w:color="auto" w:sz="12" w:space="0"/>
              <w:left w:val="none" w:color="000000" w:sz="4" w:space="0"/>
              <w:bottom w:val="single" w:color="auto" w:sz="12" w:space="0"/>
              <w:right w:val="none" w:color="000000" w:sz="4" w:space="0"/>
            </w:tcBorders>
            <w:tcW w:w="9030" w:type="dxa"/>
            <w:vAlign w:val="top"/>
            <w:textDirection w:val="lrTb"/>
            <w:noWrap w:val="false"/>
          </w:tcPr>
          <w:p>
            <w:pPr>
              <w:overflowPunct/>
              <w:kinsoku/>
              <w:wordWrap w:val="0"/>
              <w:topLinePunct/>
              <w:autoSpaceDE/>
              <w:autoSpaceDN/>
              <w:ind w:left="0" w:right="0" w:firstLine="320" w:firstLineChars="100"/>
              <w:keepLines w:val="0"/>
              <w:keepNext w:val="0"/>
              <w:pageBreakBefore w:val="0"/>
              <w:spacing w:before="0" w:beforeAutospacing="0" w:after="0" w:afterAutospacing="0" w:line="600" w:lineRule="exact"/>
              <w:widowControl w:val="off"/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suppressLineNumbers w:val="0"/>
              <w:bidi w:val="0"/>
              <w:textAlignment w:val="auto"/>
            </w:pP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 xml:space="preserve">温州理工学院办公室         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 xml:space="preserve">202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6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 xml:space="preserve">年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10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 xml:space="preserve">月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15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32"/>
                <w:szCs w:val="32"/>
                <w:highlight w:val="none"/>
              </w:rPr>
              <w:t xml:space="preserve">日印发</w:t>
            </w:r>
            <w:r/>
          </w:p>
        </w:tc>
      </w:tr>
    </w:tbl>
    <w:p>
      <w:pPr>
        <w:pStyle w:val="603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</w:r>
      <w:bookmarkEnd w:id="1"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rPr>
          <w:lang w:val="en-US" w:eastAsia="zh-CN"/>
        </w:rPr>
      </w:pPr>
      <w:r>
        <w:rPr>
          <w:lang w:val="en-US" w:eastAsia="zh-CN"/>
        </w:rPr>
      </w:r>
      <w:r/>
    </w:p>
    <w:sectPr>
      <w:footnotePr/>
      <w:endnotePr/>
      <w:type w:val="continuous"/>
      <w:pgSz w:w="11906" w:h="16838" w:orient="portrait"/>
      <w:pgMar w:top="1440" w:right="1800" w:bottom="1440" w:left="1800" w:header="851" w:footer="992" w:gutter="0"/>
      <w:cols w:num="1" w:sep="0" w:space="425" w:equalWidth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方正小标宋_GBK">
    <w:panose1 w:val="03000509000000000000"/>
  </w:font>
  <w:font w:name="Times New Roman">
    <w:panose1 w:val="02020603050405020304"/>
  </w:font>
  <w:font w:name="等线">
    <w:panose1 w:val="02010600030101010101"/>
  </w:font>
  <w:font w:name="宋体">
    <w:panose1 w:val="02010600030101010101"/>
  </w:font>
  <w:font w:name="仿宋_GB2312">
    <w:panose1 w:val="02010609030101010101"/>
  </w:font>
  <w:font w:name="黑体">
    <w:panose1 w:val="02010609060101010101"/>
  </w:font>
  <w:font w:name="Calibri">
    <w:panose1 w:val="020F0502020204030204"/>
  </w:font>
  <w:font w:name="Arial">
    <w:panose1 w:val="020B06040202020202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420"/>
  <w:drawingGridHorizontalSpacing w:val="0"/>
  <w:drawingGridVerticalSpacing w:val="312"/>
  <w:displayHorizontalDrawingGridEvery w:val="0"/>
  <w:displayVerticalDrawingGridEvery w:val="1"/>
  <w:characterSpacingControl w:val="compressPunctuation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spaceForUL w:val="true"/>
    <w:balanceSingleByteDoubleByteWidth w:val="true"/>
    <w:doNotLeaveBackslashAlone w:val="true"/>
    <w:ulTrailSpace w:val="true"/>
    <w:doNotExpandShiftReturn w:val="true"/>
    <w:adjustLineHeightInTable w:val="true"/>
    <w:useFELayout w:val="true"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600"/>
    <w:next w:val="600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601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600"/>
    <w:next w:val="600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601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600"/>
    <w:next w:val="600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601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600"/>
    <w:next w:val="600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601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600"/>
    <w:next w:val="600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601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600"/>
    <w:next w:val="600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601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600"/>
    <w:next w:val="600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601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600"/>
    <w:next w:val="600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601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600"/>
    <w:next w:val="600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601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600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600"/>
    <w:next w:val="600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601"/>
    <w:link w:val="33"/>
    <w:uiPriority w:val="10"/>
    <w:rPr>
      <w:sz w:val="48"/>
      <w:szCs w:val="48"/>
    </w:rPr>
  </w:style>
  <w:style w:type="paragraph" w:styleId="35">
    <w:name w:val="Subtitle"/>
    <w:basedOn w:val="600"/>
    <w:next w:val="600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601"/>
    <w:link w:val="35"/>
    <w:uiPriority w:val="11"/>
    <w:rPr>
      <w:sz w:val="24"/>
      <w:szCs w:val="24"/>
    </w:rPr>
  </w:style>
  <w:style w:type="paragraph" w:styleId="37">
    <w:name w:val="Quote"/>
    <w:basedOn w:val="600"/>
    <w:next w:val="600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600"/>
    <w:next w:val="600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600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601"/>
    <w:link w:val="41"/>
    <w:uiPriority w:val="99"/>
  </w:style>
  <w:style w:type="character" w:styleId="44">
    <w:name w:val="Footer Char"/>
    <w:basedOn w:val="601"/>
    <w:link w:val="605"/>
    <w:uiPriority w:val="99"/>
  </w:style>
  <w:style w:type="paragraph" w:styleId="45">
    <w:name w:val="Caption"/>
    <w:basedOn w:val="600"/>
    <w:next w:val="6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605"/>
    <w:uiPriority w:val="99"/>
  </w:style>
  <w:style w:type="table" w:styleId="47">
    <w:name w:val="Table Grid"/>
    <w:basedOn w:val="6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3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3f4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3f4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3f4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be4f4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be4f4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681cf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383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f3b802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acd78c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30c0b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e54c5e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3f4" w:themeFill="accent1" w:themeFillTint="34"/>
    </w:tblPr>
    <w:tblStylePr w:type="band1Horz">
      <w:tcPr>
        <w:shd w:val="clear" w:color="ffffff" w:themeColor="accent1" w:themeTint="75" w:fill="aac0e7" w:themeFill="accent1" w:themeFillTint="75"/>
      </w:tcPr>
    </w:tblStylePr>
    <w:tblStylePr w:type="band1Vert">
      <w:tcPr>
        <w:shd w:val="clear" w:color="ffffff" w:themeColor="accent1" w:themeTint="75" w:fill="aac0e7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874cb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874cb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874cb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874cb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6" w:themeFill="accent2" w:themeFillTint="32"/>
    </w:tblPr>
    <w:tblStylePr w:type="band1Horz">
      <w:tcPr>
        <w:shd w:val="clear" w:color="ffffff" w:themeColor="accent2" w:themeTint="75" w:fill="f7c49e" w:themeFill="accent2" w:themeFillTint="75"/>
      </w:tcPr>
    </w:tblStylePr>
    <w:tblStylePr w:type="band1Vert">
      <w:tcPr>
        <w:shd w:val="clear" w:color="ffffff" w:themeColor="accent2" w:themeTint="75" w:fill="f7c49e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e822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e822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e822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e822f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fef1c9" w:themeFill="accent3" w:themeFillTint="34"/>
    </w:tblPr>
    <w:tblStylePr w:type="band1Horz">
      <w:tcPr>
        <w:shd w:val="clear" w:color="ffffff" w:themeColor="accent3" w:themeTint="75" w:fill="fde086" w:themeFill="accent3" w:themeFillTint="75"/>
      </w:tcPr>
    </w:tblStylePr>
    <w:tblStylePr w:type="band1Vert">
      <w:tcPr>
        <w:shd w:val="clear" w:color="ffffff" w:themeColor="accent3" w:themeTint="75" w:fill="fde08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f2ba02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f2ba02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f2ba02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f2ba02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3f1d8" w:themeFill="accent4" w:themeFillTint="34"/>
    </w:tblPr>
    <w:tblStylePr w:type="band1Horz">
      <w:tcPr>
        <w:shd w:val="clear" w:color="ffffff" w:themeColor="accent4" w:themeTint="75" w:fill="bfe0a7" w:themeFill="accent4" w:themeFillTint="75"/>
      </w:tcPr>
    </w:tblStylePr>
    <w:tblStylePr w:type="band1Vert">
      <w:tcPr>
        <w:shd w:val="clear" w:color="ffffff" w:themeColor="accent4" w:themeTint="75" w:fill="bfe0a7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75bd4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75bd4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75bd4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75bd4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2f3f0" w:themeFill="accent5" w:themeFillTint="34"/>
    </w:tblPr>
    <w:tblStylePr w:type="band1Horz">
      <w:tcPr>
        <w:shd w:val="clear" w:color="ffffff" w:themeColor="accent5" w:themeTint="75" w:fill="9be6de" w:themeFill="accent5" w:themeFillTint="75"/>
      </w:tcPr>
    </w:tblStylePr>
    <w:tblStylePr w:type="band1Vert">
      <w:tcPr>
        <w:shd w:val="clear" w:color="ffffff" w:themeColor="accent5" w:themeTint="75" w:fill="9be6de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30c0b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30c0b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30c0b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30c0b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9dade" w:themeFill="accent6" w:themeFillTint="34"/>
    </w:tblPr>
    <w:tblStylePr w:type="band1Horz">
      <w:tcPr>
        <w:shd w:val="clear" w:color="ffffff" w:themeColor="accent6" w:themeTint="75" w:fill="f3acb5" w:themeFill="accent6" w:themeFillTint="75"/>
      </w:tcPr>
    </w:tblStylePr>
    <w:tblStylePr w:type="band1Vert">
      <w:tcPr>
        <w:shd w:val="clear" w:color="ffffff" w:themeColor="accent6" w:themeTint="75" w:fill="f3acb5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e54c5e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e54c5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e54c5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e54c5e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3f4" w:themeFill="accent1" w:themeFillTint="34"/>
      </w:tcPr>
    </w:tblStylePr>
    <w:tblStylePr w:type="band1Vert">
      <w:tcPr>
        <w:shd w:val="clear" w:color="ffffff" w:themeColor="accent1" w:themeTint="34" w:fill="d9e3f4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362b0" w:themeColor="accent1" w:themeTint="80" w:themeShade="95"/>
      </w:rPr>
    </w:tblStylePr>
    <w:tblStylePr w:type="firstRow">
      <w:rPr>
        <w:b/>
        <w:color w:val="3362b0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362b0" w:themeColor="accent1" w:themeTint="80" w:themeShade="95"/>
      </w:rPr>
    </w:tblStylePr>
    <w:tblStylePr w:type="lastRow">
      <w:rPr>
        <w:b/>
        <w:color w:val="3362b0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6d6" w:themeFill="accent2" w:themeFillTint="32"/>
      </w:tcPr>
    </w:tblStylePr>
    <w:tblStylePr w:type="band1Vert">
      <w:tcPr>
        <w:shd w:val="clear" w:color="ffffff" w:themeColor="accent2" w:themeTint="32" w:fill="fbe6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85f11" w:themeColor="accent2" w:themeTint="97" w:themeShade="95"/>
      </w:rPr>
    </w:tblStylePr>
    <w:tblStylePr w:type="firstRow">
      <w:rPr>
        <w:b/>
        <w:color w:val="c85f11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85f11" w:themeColor="accent2" w:themeTint="97" w:themeShade="95"/>
      </w:rPr>
    </w:tblStylePr>
    <w:tblStylePr w:type="lastRow">
      <w:rPr>
        <w:b/>
        <w:color w:val="c85f11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fef1c9" w:themeFill="accent3" w:themeFillTint="34"/>
      </w:tcPr>
    </w:tblStylePr>
    <w:tblStylePr w:type="band1Vert">
      <w:tcPr>
        <w:shd w:val="clear" w:color="ffffff" w:themeColor="accent3" w:themeTint="34" w:fill="fef1c9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8c6a01" w:themeColor="accent3" w:themeTint="FE" w:themeShade="95"/>
      </w:rPr>
    </w:tblStylePr>
    <w:tblStylePr w:type="firstRow">
      <w:rPr>
        <w:b/>
        <w:color w:val="8c6a01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8c6a01" w:themeColor="accent3" w:themeTint="FE" w:themeShade="95"/>
      </w:rPr>
    </w:tblStylePr>
    <w:tblStylePr w:type="lastRow">
      <w:rPr>
        <w:b/>
        <w:color w:val="8c6a01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3f1d8" w:themeFill="accent4" w:themeFillTint="34"/>
      </w:tcPr>
    </w:tblStylePr>
    <w:tblStylePr w:type="band1Vert">
      <w:tcPr>
        <w:shd w:val="clear" w:color="ffffff" w:themeColor="accent4" w:themeTint="34" w:fill="e3f1d8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19835" w:themeColor="accent4" w:themeTint="9A" w:themeShade="95"/>
      </w:rPr>
    </w:tblStylePr>
    <w:tblStylePr w:type="firstRow">
      <w:rPr>
        <w:b/>
        <w:color w:val="619835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19835" w:themeColor="accent4" w:themeTint="9A" w:themeShade="95"/>
      </w:rPr>
    </w:tblStylePr>
    <w:tblStylePr w:type="lastRow">
      <w:rPr>
        <w:b/>
        <w:color w:val="619835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2f3f0" w:themeFill="accent5" w:themeFillTint="34"/>
      </w:tcPr>
    </w:tblStylePr>
    <w:tblStylePr w:type="band1Vert">
      <w:tcPr>
        <w:shd w:val="clear" w:color="ffffff" w:themeColor="accent5" w:themeTint="34" w:fill="d2f3f0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1c7067" w:themeColor="accent5" w:themeShade="95"/>
      </w:rPr>
    </w:tblStylePr>
    <w:tblStylePr w:type="firstRow">
      <w:rPr>
        <w:b/>
        <w:color w:val="1c706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1c7067" w:themeColor="accent5" w:themeShade="95"/>
      </w:rPr>
    </w:tblStylePr>
    <w:tblStylePr w:type="lastRow">
      <w:rPr>
        <w:b/>
        <w:color w:val="1c706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9dade" w:themeFill="accent6" w:themeFillTint="34"/>
      </w:tcPr>
    </w:tblStylePr>
    <w:tblStylePr w:type="band1Vert">
      <w:tcPr>
        <w:shd w:val="clear" w:color="ffffff" w:themeColor="accent6" w:themeTint="34" w:fill="f9dade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1c7067" w:themeColor="accent5" w:themeShade="95"/>
      </w:rPr>
    </w:tblStylePr>
    <w:tblStylePr w:type="firstRow">
      <w:rPr>
        <w:b/>
        <w:color w:val="1c706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1c7067" w:themeColor="accent5" w:themeShade="95"/>
      </w:rPr>
    </w:tblStylePr>
    <w:tblStylePr w:type="lastRow">
      <w:rPr>
        <w:b/>
        <w:color w:val="1c706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362b0" w:themeColor="accent1" w:themeTint="80" w:themeShade="95"/>
        <w:sz w:val="22"/>
      </w:rPr>
      <w:tcPr>
        <w:shd w:val="clear" w:color="ffffff" w:themeColor="accent1" w:themeTint="34" w:fill="d9e3f4" w:themeFill="accent1" w:themeFillTint="34"/>
      </w:tcPr>
    </w:tblStylePr>
    <w:tblStylePr w:type="band1Vert">
      <w:tcPr>
        <w:shd w:val="clear" w:color="ffffff" w:themeColor="accent1" w:themeTint="34" w:fill="d9e3f4" w:themeFill="accent1" w:themeFillTint="34"/>
      </w:tcPr>
    </w:tblStylePr>
    <w:tblStylePr w:type="band2Horz">
      <w:rPr>
        <w:rFonts w:ascii="Arial" w:hAnsi="Arial"/>
        <w:color w:val="3362b0" w:themeColor="accent1" w:themeTint="80" w:themeShade="95"/>
        <w:sz w:val="22"/>
      </w:rPr>
    </w:tblStylePr>
    <w:tblStylePr w:type="firstCol">
      <w:rPr>
        <w:rFonts w:ascii="Arial" w:hAnsi="Arial"/>
        <w:i/>
        <w:color w:val="3362b0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362b0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362b0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362b0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85f11" w:themeColor="accent2" w:themeTint="97" w:themeShade="95"/>
        <w:sz w:val="22"/>
      </w:rPr>
      <w:tcPr>
        <w:shd w:val="clear" w:color="ffffff" w:themeColor="accent2" w:themeTint="32" w:fill="fbe6d6" w:themeFill="accent2" w:themeFillTint="32"/>
      </w:tcPr>
    </w:tblStylePr>
    <w:tblStylePr w:type="band1Vert">
      <w:tcPr>
        <w:shd w:val="clear" w:color="ffffff" w:themeColor="accent2" w:themeTint="32" w:fill="fbe6d6" w:themeFill="accent2" w:themeFillTint="32"/>
      </w:tcPr>
    </w:tblStylePr>
    <w:tblStylePr w:type="band2Horz">
      <w:rPr>
        <w:rFonts w:ascii="Arial" w:hAnsi="Arial"/>
        <w:color w:val="c85f11" w:themeColor="accent2" w:themeTint="97" w:themeShade="95"/>
        <w:sz w:val="22"/>
      </w:rPr>
    </w:tblStylePr>
    <w:tblStylePr w:type="firstCol">
      <w:rPr>
        <w:rFonts w:ascii="Arial" w:hAnsi="Arial"/>
        <w:i/>
        <w:color w:val="c85f11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85f11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85f11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85f11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8c6a01" w:themeColor="accent3" w:themeTint="FE" w:themeShade="95"/>
        <w:sz w:val="22"/>
      </w:rPr>
      <w:tcPr>
        <w:shd w:val="clear" w:color="ffffff" w:themeColor="accent3" w:themeTint="34" w:fill="fef1c9" w:themeFill="accent3" w:themeFillTint="34"/>
      </w:tcPr>
    </w:tblStylePr>
    <w:tblStylePr w:type="band1Vert">
      <w:tcPr>
        <w:shd w:val="clear" w:color="ffffff" w:themeColor="accent3" w:themeTint="34" w:fill="fef1c9" w:themeFill="accent3" w:themeFillTint="34"/>
      </w:tcPr>
    </w:tblStylePr>
    <w:tblStylePr w:type="band2Horz">
      <w:rPr>
        <w:rFonts w:ascii="Arial" w:hAnsi="Arial"/>
        <w:color w:val="8c6a01" w:themeColor="accent3" w:themeTint="FE" w:themeShade="95"/>
        <w:sz w:val="22"/>
      </w:rPr>
    </w:tblStylePr>
    <w:tblStylePr w:type="firstCol">
      <w:rPr>
        <w:rFonts w:ascii="Arial" w:hAnsi="Arial"/>
        <w:i/>
        <w:color w:val="8c6a01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8c6a01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8c6a01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8c6a01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19835" w:themeColor="accent4" w:themeTint="9A" w:themeShade="95"/>
        <w:sz w:val="22"/>
      </w:rPr>
      <w:tcPr>
        <w:shd w:val="clear" w:color="ffffff" w:themeColor="accent4" w:themeTint="34" w:fill="e3f1d8" w:themeFill="accent4" w:themeFillTint="34"/>
      </w:tcPr>
    </w:tblStylePr>
    <w:tblStylePr w:type="band1Vert">
      <w:tcPr>
        <w:shd w:val="clear" w:color="ffffff" w:themeColor="accent4" w:themeTint="34" w:fill="e3f1d8" w:themeFill="accent4" w:themeFillTint="34"/>
      </w:tcPr>
    </w:tblStylePr>
    <w:tblStylePr w:type="band2Horz">
      <w:rPr>
        <w:rFonts w:ascii="Arial" w:hAnsi="Arial"/>
        <w:color w:val="619835" w:themeColor="accent4" w:themeTint="9A" w:themeShade="95"/>
        <w:sz w:val="22"/>
      </w:rPr>
    </w:tblStylePr>
    <w:tblStylePr w:type="firstCol">
      <w:rPr>
        <w:rFonts w:ascii="Arial" w:hAnsi="Arial"/>
        <w:i/>
        <w:color w:val="619835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19835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19835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983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1c7067" w:themeColor="accent5" w:themeShade="95"/>
        <w:sz w:val="22"/>
      </w:rPr>
      <w:tcPr>
        <w:shd w:val="clear" w:color="ffffff" w:themeColor="accent5" w:themeTint="34" w:fill="d2f3f0" w:themeFill="accent5" w:themeFillTint="34"/>
      </w:tcPr>
    </w:tblStylePr>
    <w:tblStylePr w:type="band1Vert">
      <w:tcPr>
        <w:shd w:val="clear" w:color="ffffff" w:themeColor="accent5" w:themeTint="34" w:fill="d2f3f0" w:themeFill="accent5" w:themeFillTint="34"/>
      </w:tcPr>
    </w:tblStylePr>
    <w:tblStylePr w:type="band2Horz">
      <w:rPr>
        <w:rFonts w:ascii="Arial" w:hAnsi="Arial"/>
        <w:color w:val="1c7067" w:themeColor="accent5" w:themeShade="95"/>
        <w:sz w:val="22"/>
      </w:rPr>
    </w:tblStylePr>
    <w:tblStylePr w:type="firstCol">
      <w:rPr>
        <w:rFonts w:ascii="Arial" w:hAnsi="Arial"/>
        <w:i/>
        <w:color w:val="1c706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1c706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1c706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1c706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9b1626" w:themeColor="accent6" w:themeShade="95"/>
        <w:sz w:val="22"/>
      </w:rPr>
      <w:tcPr>
        <w:shd w:val="clear" w:color="ffffff" w:themeColor="accent6" w:themeTint="34" w:fill="f9dade" w:themeFill="accent6" w:themeFillTint="34"/>
      </w:tcPr>
    </w:tblStylePr>
    <w:tblStylePr w:type="band1Vert">
      <w:tcPr>
        <w:shd w:val="clear" w:color="ffffff" w:themeColor="accent6" w:themeTint="34" w:fill="f9dade" w:themeFill="accent6" w:themeFillTint="34"/>
      </w:tcPr>
    </w:tblStylePr>
    <w:tblStylePr w:type="band2Horz">
      <w:rPr>
        <w:rFonts w:ascii="Arial" w:hAnsi="Arial"/>
        <w:color w:val="9b1626" w:themeColor="accent6" w:themeShade="95"/>
        <w:sz w:val="22"/>
      </w:rPr>
    </w:tblStylePr>
    <w:tblStylePr w:type="firstCol">
      <w:rPr>
        <w:rFonts w:ascii="Arial" w:hAnsi="Arial"/>
        <w:i/>
        <w:color w:val="9b1626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9b1626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9b1626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b1626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0dcf1" w:themeFill="accent1" w:themeFillTint="40"/>
      </w:tcPr>
    </w:tblStylePr>
    <w:tblStylePr w:type="band1Vert">
      <w:tcPr>
        <w:shd w:val="clear" w:color="ffffff" w:themeColor="accent1" w:themeTint="40" w:fill="d0dcf1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fcb" w:themeFill="accent2" w:themeFillTint="40"/>
      </w:tcPr>
    </w:tblStylePr>
    <w:tblStylePr w:type="band1Vert">
      <w:tcPr>
        <w:shd w:val="clear" w:color="ffffff" w:themeColor="accent2" w:themeTint="40" w:fill="fadf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feeebd" w:themeFill="accent3" w:themeFillTint="40"/>
      </w:tcPr>
    </w:tblStylePr>
    <w:tblStylePr w:type="band1Vert">
      <w:tcPr>
        <w:shd w:val="clear" w:color="ffffff" w:themeColor="accent3" w:themeTint="40" w:fill="feeebd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ceecf" w:themeFill="accent4" w:themeFillTint="40"/>
      </w:tcPr>
    </w:tblStylePr>
    <w:tblStylePr w:type="band1Vert">
      <w:tcPr>
        <w:shd w:val="clear" w:color="ffffff" w:themeColor="accent4" w:themeTint="40" w:fill="dceec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8f1ed" w:themeFill="accent5" w:themeFillTint="40"/>
      </w:tcPr>
    </w:tblStylePr>
    <w:tblStylePr w:type="band1Vert">
      <w:tcPr>
        <w:shd w:val="clear" w:color="ffffff" w:themeColor="accent5" w:themeTint="40" w:fill="c8f1ed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8d1d6" w:themeFill="accent6" w:themeFillTint="40"/>
      </w:tcPr>
    </w:tblStylePr>
    <w:tblStylePr w:type="band1Vert">
      <w:tcPr>
        <w:shd w:val="clear" w:color="ffffff" w:themeColor="accent6" w:themeTint="40" w:fill="f8d1d6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0dcf1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0dcf1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f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f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eeebd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eeebd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ceec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ceec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8f1ed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8f1ed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8d1d6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8d1d6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874cb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383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fdd762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acd78c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7bded3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ef949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0dcf1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0dcf1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874cb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f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f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e822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feeebd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feeebd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f2ba02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ceec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ceec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75bd4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8f1ed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8f1ed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30c0b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8d1d6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8d1d6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e54c5e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874cb" w:themeFill="accent1"/>
    </w:tblPr>
    <w:tblStylePr w:type="band1Horz">
      <w:tcPr>
        <w:shd w:val="clear" w:color="ffffff" w:themeColor="accent1" w:fill="4874cb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874cb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874cb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874cb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383" w:themeFill="accent2" w:themeFillTint="97"/>
    </w:tblPr>
    <w:tblStylePr w:type="band1Horz">
      <w:tcPr>
        <w:shd w:val="clear" w:color="ffffff" w:themeColor="accent2" w:themeTint="97" w:fill="f4b383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383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383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383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fdd762" w:themeFill="accent3" w:themeFillTint="98"/>
    </w:tblPr>
    <w:tblStylePr w:type="band1Horz">
      <w:tcPr>
        <w:shd w:val="clear" w:color="ffffff" w:themeColor="accent3" w:themeTint="98" w:fill="fdd762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fdd762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fdd762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fdd762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acd78c" w:themeFill="accent4" w:themeFillTint="9A"/>
    </w:tblPr>
    <w:tblStylePr w:type="band1Horz">
      <w:tcPr>
        <w:shd w:val="clear" w:color="ffffff" w:themeColor="accent4" w:themeTint="9A" w:fill="acd78c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acd78c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acd78c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acd78c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7bded3" w:themeFill="accent5" w:themeFillTint="9A"/>
    </w:tblPr>
    <w:tblStylePr w:type="band1Horz">
      <w:tcPr>
        <w:shd w:val="clear" w:color="ffffff" w:themeColor="accent5" w:themeTint="9A" w:fill="7bded3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7bded3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7bded3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7bded3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ef949f" w:themeFill="accent6" w:themeFillTint="98"/>
    </w:tblPr>
    <w:tblStylePr w:type="band1Horz">
      <w:tcPr>
        <w:shd w:val="clear" w:color="ffffff" w:themeColor="accent6" w:themeTint="98" w:fill="ef949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ef949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ef949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ef949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0dcf1" w:themeFill="accent1" w:themeFillTint="40"/>
      </w:tcPr>
    </w:tblStylePr>
    <w:tblStylePr w:type="band1Vert">
      <w:tcPr>
        <w:shd w:val="clear" w:color="ffffff" w:themeColor="accent1" w:themeTint="40" w:fill="d0dcf1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3427c" w:themeColor="accent1" w:themeShade="95"/>
      </w:rPr>
    </w:tblStylePr>
    <w:tblStylePr w:type="firstRow">
      <w:rPr>
        <w:b/>
        <w:color w:val="23427c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3427c" w:themeColor="accent1" w:themeShade="95"/>
      </w:rPr>
    </w:tblStylePr>
    <w:tblStylePr w:type="lastRow">
      <w:rPr>
        <w:b/>
        <w:color w:val="23427c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fcb" w:themeFill="accent2" w:themeFillTint="40"/>
      </w:tcPr>
    </w:tblStylePr>
    <w:tblStylePr w:type="band1Vert">
      <w:tcPr>
        <w:shd w:val="clear" w:color="ffffff" w:themeColor="accent2" w:themeTint="40" w:fill="fadf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85f11" w:themeColor="accent2" w:themeTint="97" w:themeShade="95"/>
      </w:rPr>
    </w:tblStylePr>
    <w:tblStylePr w:type="firstRow">
      <w:rPr>
        <w:b/>
        <w:color w:val="c85f11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85f11" w:themeColor="accent2" w:themeTint="97" w:themeShade="95"/>
      </w:rPr>
    </w:tblStylePr>
    <w:tblStylePr w:type="lastRow">
      <w:rPr>
        <w:b/>
        <w:color w:val="c85f11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feeebd" w:themeFill="accent3" w:themeFillTint="40"/>
      </w:tcPr>
    </w:tblStylePr>
    <w:tblStylePr w:type="band1Vert">
      <w:tcPr>
        <w:shd w:val="clear" w:color="ffffff" w:themeColor="accent3" w:themeTint="40" w:fill="feeebd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c99802" w:themeColor="accent3" w:themeTint="98" w:themeShade="95"/>
      </w:rPr>
    </w:tblStylePr>
    <w:tblStylePr w:type="firstRow">
      <w:rPr>
        <w:b/>
        <w:color w:val="c99802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c99802" w:themeColor="accent3" w:themeTint="98" w:themeShade="95"/>
      </w:rPr>
    </w:tblStylePr>
    <w:tblStylePr w:type="lastRow">
      <w:rPr>
        <w:b/>
        <w:color w:val="c99802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ceecf" w:themeFill="accent4" w:themeFillTint="40"/>
      </w:tcPr>
    </w:tblStylePr>
    <w:tblStylePr w:type="band1Vert">
      <w:tcPr>
        <w:shd w:val="clear" w:color="ffffff" w:themeColor="accent4" w:themeTint="40" w:fill="dceec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19835" w:themeColor="accent4" w:themeTint="9A" w:themeShade="95"/>
      </w:rPr>
    </w:tblStylePr>
    <w:tblStylePr w:type="firstRow">
      <w:rPr>
        <w:b/>
        <w:color w:val="619835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19835" w:themeColor="accent4" w:themeTint="9A" w:themeShade="95"/>
      </w:rPr>
    </w:tblStylePr>
    <w:tblStylePr w:type="lastRow">
      <w:rPr>
        <w:b/>
        <w:color w:val="619835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8f1ed" w:themeFill="accent5" w:themeFillTint="40"/>
      </w:tcPr>
    </w:tblStylePr>
    <w:tblStylePr w:type="band1Vert">
      <w:tcPr>
        <w:shd w:val="clear" w:color="ffffff" w:themeColor="accent5" w:themeTint="40" w:fill="c8f1ed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8a191" w:themeColor="accent5" w:themeTint="9A" w:themeShade="95"/>
      </w:rPr>
    </w:tblStylePr>
    <w:tblStylePr w:type="firstRow">
      <w:rPr>
        <w:b/>
        <w:color w:val="28a19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8a191" w:themeColor="accent5" w:themeTint="9A" w:themeShade="95"/>
      </w:rPr>
    </w:tblStylePr>
    <w:tblStylePr w:type="lastRow">
      <w:rPr>
        <w:b/>
        <w:color w:val="28a19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8d1d6" w:themeFill="accent6" w:themeFillTint="40"/>
      </w:tcPr>
    </w:tblStylePr>
    <w:tblStylePr w:type="band1Vert">
      <w:tcPr>
        <w:shd w:val="clear" w:color="ffffff" w:themeColor="accent6" w:themeTint="40" w:fill="f8d1d6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c41d35" w:themeColor="accent6" w:themeTint="98" w:themeShade="95"/>
      </w:rPr>
    </w:tblStylePr>
    <w:tblStylePr w:type="firstRow">
      <w:rPr>
        <w:b/>
        <w:color w:val="c41d35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c41d35" w:themeColor="accent6" w:themeTint="98" w:themeShade="95"/>
      </w:rPr>
    </w:tblStylePr>
    <w:tblStylePr w:type="lastRow">
      <w:rPr>
        <w:b/>
        <w:color w:val="c41d35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3427c" w:themeColor="accent1" w:themeShade="95"/>
        <w:sz w:val="22"/>
      </w:rPr>
      <w:tcPr>
        <w:shd w:val="clear" w:color="ffffff" w:themeColor="accent1" w:themeTint="40" w:fill="d0dcf1" w:themeFill="accent1" w:themeFillTint="40"/>
      </w:tcPr>
    </w:tblStylePr>
    <w:tblStylePr w:type="band1Vert">
      <w:tcPr>
        <w:shd w:val="clear" w:color="ffffff" w:themeColor="accent1" w:themeTint="40" w:fill="d0dcf1" w:themeFill="accent1" w:themeFillTint="40"/>
      </w:tcPr>
    </w:tblStylePr>
    <w:tblStylePr w:type="band2Horz">
      <w:rPr>
        <w:rFonts w:ascii="Arial" w:hAnsi="Arial"/>
        <w:color w:val="23427c" w:themeColor="accent1" w:themeShade="95"/>
        <w:sz w:val="22"/>
      </w:rPr>
    </w:tblStylePr>
    <w:tblStylePr w:type="firstCol">
      <w:rPr>
        <w:rFonts w:ascii="Arial" w:hAnsi="Arial"/>
        <w:i/>
        <w:color w:val="23427c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3427c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3427c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3427c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3427c" w:themeColor="accent1" w:themeShade="95"/>
        <w:sz w:val="22"/>
      </w:rPr>
    </w:tblStylePr>
  </w:style>
  <w:style w:type="table" w:styleId="147">
    <w:name w:val="List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85f11" w:themeColor="accent2" w:themeTint="97" w:themeShade="95"/>
        <w:sz w:val="22"/>
      </w:rPr>
      <w:tcPr>
        <w:shd w:val="clear" w:color="ffffff" w:themeColor="accent2" w:themeTint="40" w:fill="fadfcb" w:themeFill="accent2" w:themeFillTint="40"/>
      </w:tcPr>
    </w:tblStylePr>
    <w:tblStylePr w:type="band1Vert">
      <w:tcPr>
        <w:shd w:val="clear" w:color="ffffff" w:themeColor="accent2" w:themeTint="40" w:fill="fadfcb" w:themeFill="accent2" w:themeFillTint="40"/>
      </w:tcPr>
    </w:tblStylePr>
    <w:tblStylePr w:type="band2Horz">
      <w:rPr>
        <w:rFonts w:ascii="Arial" w:hAnsi="Arial"/>
        <w:color w:val="c85f11" w:themeColor="accent2" w:themeTint="97" w:themeShade="95"/>
        <w:sz w:val="22"/>
      </w:rPr>
    </w:tblStylePr>
    <w:tblStylePr w:type="firstCol">
      <w:rPr>
        <w:rFonts w:ascii="Arial" w:hAnsi="Arial"/>
        <w:i/>
        <w:color w:val="c85f11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85f11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85f11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85f11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85f11" w:themeColor="accent2" w:themeTint="97" w:themeShade="95"/>
        <w:sz w:val="22"/>
      </w:rPr>
    </w:tblStylePr>
  </w:style>
  <w:style w:type="table" w:styleId="148">
    <w:name w:val="List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c99802" w:themeColor="accent3" w:themeTint="98" w:themeShade="95"/>
        <w:sz w:val="22"/>
      </w:rPr>
      <w:tcPr>
        <w:shd w:val="clear" w:color="ffffff" w:themeColor="accent3" w:themeTint="40" w:fill="feeebd" w:themeFill="accent3" w:themeFillTint="40"/>
      </w:tcPr>
    </w:tblStylePr>
    <w:tblStylePr w:type="band1Vert">
      <w:tcPr>
        <w:shd w:val="clear" w:color="ffffff" w:themeColor="accent3" w:themeTint="40" w:fill="feeebd" w:themeFill="accent3" w:themeFillTint="40"/>
      </w:tcPr>
    </w:tblStylePr>
    <w:tblStylePr w:type="band2Horz">
      <w:rPr>
        <w:rFonts w:ascii="Arial" w:hAnsi="Arial"/>
        <w:color w:val="c99802" w:themeColor="accent3" w:themeTint="98" w:themeShade="95"/>
        <w:sz w:val="22"/>
      </w:rPr>
    </w:tblStylePr>
    <w:tblStylePr w:type="firstCol">
      <w:rPr>
        <w:rFonts w:ascii="Arial" w:hAnsi="Arial"/>
        <w:i/>
        <w:color w:val="c99802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c99802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c99802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9802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9802" w:themeColor="accent3" w:themeTint="98" w:themeShade="95"/>
        <w:sz w:val="22"/>
      </w:rPr>
    </w:tblStylePr>
  </w:style>
  <w:style w:type="table" w:styleId="149">
    <w:name w:val="List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19835" w:themeColor="accent4" w:themeTint="9A" w:themeShade="95"/>
        <w:sz w:val="22"/>
      </w:rPr>
      <w:tcPr>
        <w:shd w:val="clear" w:color="ffffff" w:themeColor="accent4" w:themeTint="40" w:fill="dceecf" w:themeFill="accent4" w:themeFillTint="40"/>
      </w:tcPr>
    </w:tblStylePr>
    <w:tblStylePr w:type="band1Vert">
      <w:tcPr>
        <w:shd w:val="clear" w:color="ffffff" w:themeColor="accent4" w:themeTint="40" w:fill="dceecf" w:themeFill="accent4" w:themeFillTint="40"/>
      </w:tcPr>
    </w:tblStylePr>
    <w:tblStylePr w:type="band2Horz">
      <w:rPr>
        <w:rFonts w:ascii="Arial" w:hAnsi="Arial"/>
        <w:color w:val="619835" w:themeColor="accent4" w:themeTint="9A" w:themeShade="95"/>
        <w:sz w:val="22"/>
      </w:rPr>
    </w:tblStylePr>
    <w:tblStylePr w:type="firstCol">
      <w:rPr>
        <w:rFonts w:ascii="Arial" w:hAnsi="Arial"/>
        <w:i/>
        <w:color w:val="619835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19835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19835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1983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19835" w:themeColor="accent4" w:themeTint="9A" w:themeShade="95"/>
        <w:sz w:val="22"/>
      </w:rPr>
    </w:tblStylePr>
  </w:style>
  <w:style w:type="table" w:styleId="150">
    <w:name w:val="List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8a191" w:themeColor="accent5" w:themeTint="9A" w:themeShade="95"/>
        <w:sz w:val="22"/>
      </w:rPr>
      <w:tcPr>
        <w:shd w:val="clear" w:color="ffffff" w:themeColor="accent5" w:themeTint="40" w:fill="c8f1ed" w:themeFill="accent5" w:themeFillTint="40"/>
      </w:tcPr>
    </w:tblStylePr>
    <w:tblStylePr w:type="band1Vert">
      <w:tcPr>
        <w:shd w:val="clear" w:color="ffffff" w:themeColor="accent5" w:themeTint="40" w:fill="c8f1ed" w:themeFill="accent5" w:themeFillTint="40"/>
      </w:tcPr>
    </w:tblStylePr>
    <w:tblStylePr w:type="band2Horz">
      <w:rPr>
        <w:rFonts w:ascii="Arial" w:hAnsi="Arial"/>
        <w:color w:val="28a191" w:themeColor="accent5" w:themeTint="9A" w:themeShade="95"/>
        <w:sz w:val="22"/>
      </w:rPr>
    </w:tblStylePr>
    <w:tblStylePr w:type="firstCol">
      <w:rPr>
        <w:rFonts w:ascii="Arial" w:hAnsi="Arial"/>
        <w:i/>
        <w:color w:val="28a19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8a19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8a19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8a19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8a191" w:themeColor="accent5" w:themeTint="9A" w:themeShade="95"/>
        <w:sz w:val="22"/>
      </w:rPr>
    </w:tblStylePr>
  </w:style>
  <w:style w:type="table" w:styleId="151">
    <w:name w:val="List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c41d35" w:themeColor="accent6" w:themeTint="98" w:themeShade="95"/>
        <w:sz w:val="22"/>
      </w:rPr>
      <w:tcPr>
        <w:shd w:val="clear" w:color="ffffff" w:themeColor="accent6" w:themeTint="40" w:fill="f8d1d6" w:themeFill="accent6" w:themeFillTint="40"/>
      </w:tcPr>
    </w:tblStylePr>
    <w:tblStylePr w:type="band1Vert">
      <w:tcPr>
        <w:shd w:val="clear" w:color="ffffff" w:themeColor="accent6" w:themeTint="40" w:fill="f8d1d6" w:themeFill="accent6" w:themeFillTint="40"/>
      </w:tcPr>
    </w:tblStylePr>
    <w:tblStylePr w:type="band2Horz">
      <w:rPr>
        <w:rFonts w:ascii="Arial" w:hAnsi="Arial"/>
        <w:color w:val="c41d35" w:themeColor="accent6" w:themeTint="98" w:themeShade="95"/>
        <w:sz w:val="22"/>
      </w:rPr>
    </w:tblStylePr>
    <w:tblStylePr w:type="firstCol">
      <w:rPr>
        <w:rFonts w:ascii="Arial" w:hAnsi="Arial"/>
        <w:i/>
        <w:color w:val="c41d35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c41d35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c41d35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41d35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41d35" w:themeColor="accent6" w:themeTint="98" w:themeShade="95"/>
        <w:sz w:val="22"/>
      </w:rPr>
    </w:tblStylePr>
  </w:style>
  <w:style w:type="table" w:styleId="152">
    <w:name w:val="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5d3ee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5d3ee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681c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681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681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681cf" w:themeFill="accent1" w:themeFillTint="EA"/>
      </w:tcPr>
    </w:tblStylePr>
  </w:style>
  <w:style w:type="table" w:styleId="154">
    <w:name w:val="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383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3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3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383" w:themeFill="accent2" w:themeFillTint="97"/>
      </w:tcPr>
    </w:tblStylePr>
  </w:style>
  <w:style w:type="table" w:styleId="155">
    <w:name w:val="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f3b802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f3b8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f3b8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f3b802" w:themeFill="accent3" w:themeFillTint="FE"/>
      </w:tcPr>
    </w:tblStylePr>
  </w:style>
  <w:style w:type="table" w:styleId="156">
    <w:name w:val="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acd78c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ac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ac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acd78c" w:themeFill="accent4" w:themeFillTint="9A"/>
      </w:tcPr>
    </w:tblStylePr>
  </w:style>
  <w:style w:type="table" w:styleId="157">
    <w:name w:val="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30c0b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30c0b4" w:themeFill="accent5"/>
      </w:tcPr>
    </w:tblStylePr>
  </w:style>
  <w:style w:type="table" w:styleId="158">
    <w:name w:val="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e54c5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e54c5e" w:themeFill="accent6"/>
      </w:tcPr>
    </w:tblStylePr>
  </w:style>
  <w:style w:type="table" w:styleId="159">
    <w:name w:val="Bordered &amp; 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5d3ee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5d3ee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681c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681c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681c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681cf" w:themeFill="accent1" w:themeFillTint="EA"/>
      </w:tcPr>
    </w:tblStylePr>
  </w:style>
  <w:style w:type="table" w:styleId="161">
    <w:name w:val="Bordered &amp; 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6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383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383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383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383" w:themeFill="accent2" w:themeFillTint="97"/>
      </w:tcPr>
    </w:tblStylePr>
  </w:style>
  <w:style w:type="table" w:styleId="162">
    <w:name w:val="Bordered &amp; 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fef1c9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f3b802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f3b802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f3b802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f3b802" w:themeFill="accent3" w:themeFillTint="FE"/>
      </w:tcPr>
    </w:tblStylePr>
  </w:style>
  <w:style w:type="table" w:styleId="163">
    <w:name w:val="Bordered &amp; 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3f1d8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acd78c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acd78c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acd78c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acd78c" w:themeFill="accent4" w:themeFillTint="9A"/>
      </w:tcPr>
    </w:tblStylePr>
  </w:style>
  <w:style w:type="table" w:styleId="164">
    <w:name w:val="Bordered &amp; 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2f3f0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30c0b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30c0b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30c0b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30c0b4" w:themeFill="accent5"/>
      </w:tcPr>
    </w:tblStylePr>
  </w:style>
  <w:style w:type="table" w:styleId="165">
    <w:name w:val="Bordered &amp; 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9dade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e54c5e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e54c5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e54c5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e54c5e" w:themeFill="accent6"/>
      </w:tcPr>
    </w:tblStylePr>
  </w:style>
  <w:style w:type="table" w:styleId="166">
    <w:name w:val="Bordered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600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601"/>
    <w:uiPriority w:val="99"/>
    <w:unhideWhenUsed/>
    <w:rPr>
      <w:vertAlign w:val="superscript"/>
    </w:rPr>
  </w:style>
  <w:style w:type="paragraph" w:styleId="177">
    <w:name w:val="endnote text"/>
    <w:basedOn w:val="600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601"/>
    <w:uiPriority w:val="99"/>
    <w:semiHidden/>
    <w:unhideWhenUsed/>
    <w:rPr>
      <w:vertAlign w:val="superscript"/>
    </w:rPr>
  </w:style>
  <w:style w:type="paragraph" w:styleId="180">
    <w:name w:val="toc 1"/>
    <w:basedOn w:val="600"/>
    <w:next w:val="600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600"/>
    <w:next w:val="600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600"/>
    <w:next w:val="600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600"/>
    <w:next w:val="600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600"/>
    <w:next w:val="600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600"/>
    <w:next w:val="600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600"/>
    <w:next w:val="600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600"/>
    <w:next w:val="600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600"/>
    <w:next w:val="600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600"/>
    <w:next w:val="600"/>
    <w:uiPriority w:val="99"/>
    <w:unhideWhenUsed/>
    <w:pPr>
      <w:spacing w:after="0" w:afterAutospacing="0"/>
    </w:pPr>
  </w:style>
  <w:style w:type="paragraph" w:styleId="600" w:default="1">
    <w:name w:val="Normal"/>
    <w:next w:val="603"/>
    <w:uiPriority w:val="0"/>
    <w:qFormat/>
    <w:pPr>
      <w:jc w:val="both"/>
      <w:widowControl w:val="off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styleId="601" w:default="1">
    <w:name w:val="Default Paragraph Font"/>
    <w:uiPriority w:val="0"/>
    <w:semiHidden/>
    <w:qFormat/>
  </w:style>
  <w:style w:type="table" w:styleId="602" w:default="1">
    <w:name w:val="Normal Table"/>
    <w:uiPriority w:val="0"/>
    <w:semiHidden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03">
    <w:name w:val="Body Text First Indent"/>
    <w:basedOn w:val="604"/>
    <w:next w:val="600"/>
    <w:uiPriority w:val="0"/>
    <w:qFormat/>
    <w:pPr>
      <w:ind w:firstLine="420" w:firstLineChars="100"/>
    </w:pPr>
    <w:rPr>
      <w:rFonts w:ascii="Calibri" w:hAnsi="Calibri" w:eastAsia="宋体" w:cs="黑体"/>
    </w:rPr>
  </w:style>
  <w:style w:type="paragraph" w:styleId="604">
    <w:name w:val="Body Text"/>
    <w:basedOn w:val="600"/>
    <w:uiPriority w:val="0"/>
    <w:qFormat/>
    <w:pPr>
      <w:spacing w:after="120"/>
    </w:pPr>
    <w:rPr>
      <w:rFonts w:ascii="等线" w:hAnsi="等线" w:eastAsia="等线"/>
    </w:rPr>
  </w:style>
  <w:style w:type="paragraph" w:styleId="605">
    <w:name w:val="Footer"/>
    <w:basedOn w:val="600"/>
    <w:uiPriority w:val="0"/>
    <w:qFormat/>
    <w:pPr>
      <w:snapToGrid w:val="0"/>
      <w:jc w:val="left"/>
      <w:tabs>
        <w:tab w:val="center" w:pos="4153" w:leader="none"/>
        <w:tab w:val="right" w:pos="8306" w:leader="none"/>
      </w:tabs>
    </w:pPr>
    <w:rPr>
      <w:sz w:val="18"/>
    </w:rPr>
  </w:style>
  <w:style w:type="numbering" w:styleId="195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宋体"/>
        <a:cs typeface="Arial"/>
      </a:majorFont>
      <a:minorFont>
        <a:latin typeface="Calibri"/>
        <a:ea typeface="宋体"/>
        <a:cs typeface="Arial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iWebEditor/1.6.83.0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欧欧</dc:creator>
  <cp:lastModifiedBy>欧玲艳</cp:lastModifiedBy>
  <cp:revision>2</cp:revision>
  <dcterms:created xsi:type="dcterms:W3CDTF">2024-11-06T19:17:00Z</dcterms:created>
  <dcterms:modified xsi:type="dcterms:W3CDTF">2026-10-15T11:29:12Z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2052-11.8.2.12320</vt:lpwstr>
  </property>
  <property fmtid="{D5CDD505-2E9C-101B-9397-08002B2CF9AE}" pid="3" name="ICV">
    <vt:lpwstr>C383710B9A03646BF2B8D06AEC408674</vt:lpwstr>
  </property>
  <property fmtid="{D5CDD505-2E9C-101B-9397-08002B2CF9AE}" pid="4" name="KSOTemplateDocerSaveRecord">
    <vt:lpwstr>eyJoZGlkIjoiNWM2NzgxNzg1NjAwZTkxZTdlYmMyNGM3NmY0NjMxYjgiLCJ1c2VySWQiOiIzNTE1MjU5NjgifQ==</vt:lpwstr>
  </property>
</Properties>
</file>