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6E67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600" w:lineRule="exact"/>
        <w:ind w:right="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44"/>
          <w:szCs w:val="44"/>
          <w:highlight w:val="none"/>
          <w:lang w:eastAsia="zh-CN" w:bidi="ar"/>
        </w:rPr>
      </w:pP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-1132205</wp:posOffset>
            </wp:positionH>
            <wp:positionV relativeFrom="paragraph">
              <wp:posOffset>-915670</wp:posOffset>
            </wp:positionV>
            <wp:extent cx="7560310" cy="3727450"/>
            <wp:effectExtent l="0" t="0" r="1270" b="3810"/>
            <wp:wrapNone/>
            <wp:docPr id="1" name="图片 32" descr="温州理工学院文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2" descr="温州理工学院文件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372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856C3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600" w:lineRule="exact"/>
        <w:ind w:right="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44"/>
          <w:szCs w:val="44"/>
          <w:highlight w:val="none"/>
          <w:lang w:eastAsia="zh-CN" w:bidi="ar"/>
        </w:rPr>
      </w:pPr>
    </w:p>
    <w:p w14:paraId="29D8D4F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600" w:lineRule="exact"/>
        <w:ind w:right="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44"/>
          <w:szCs w:val="44"/>
          <w:highlight w:val="none"/>
          <w:lang w:val="en-US" w:eastAsia="zh-CN" w:bidi="ar"/>
        </w:rPr>
      </w:pPr>
    </w:p>
    <w:p w14:paraId="2FD66B0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600" w:lineRule="exact"/>
        <w:ind w:right="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44"/>
          <w:szCs w:val="44"/>
          <w:highlight w:val="none"/>
          <w:lang w:bidi="ar"/>
        </w:rPr>
      </w:pPr>
    </w:p>
    <w:p w14:paraId="2597CAC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60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771C05B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600" w:lineRule="exact"/>
        <w:ind w:right="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3425AC3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600" w:lineRule="exact"/>
        <w:ind w:right="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温理工行政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〔202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号</w:t>
      </w:r>
    </w:p>
    <w:p w14:paraId="16C0595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600" w:lineRule="exact"/>
        <w:ind w:right="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 w14:paraId="6BA3D2A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/>
        <w:jc w:val="center"/>
        <w:textAlignment w:val="auto"/>
        <w:rPr>
          <w:rFonts w:hint="default" w:ascii="Times New Roman" w:hAnsi="Times New Roman" w:eastAsia="方正小标宋_GBK" w:cs="Times New Roman"/>
          <w:snapToGrid/>
          <w:color w:val="auto"/>
          <w:kern w:val="2"/>
          <w:sz w:val="32"/>
          <w:szCs w:val="32"/>
          <w:highlight w:val="none"/>
          <w:lang w:eastAsia="zh-CN"/>
        </w:rPr>
      </w:pPr>
    </w:p>
    <w:p w14:paraId="1135FD8C">
      <w:pPr>
        <w:spacing w:line="580" w:lineRule="exact"/>
        <w:jc w:val="center"/>
        <w:rPr>
          <w:rFonts w:hint="default" w:ascii="Times New Roman" w:hAnsi="Times New Roman" w:eastAsia="方正小标宋_GBK" w:cs="Times New Roman"/>
          <w:snapToGrid/>
          <w:color w:val="auto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snapToGrid/>
          <w:color w:val="auto"/>
          <w:kern w:val="0"/>
          <w:sz w:val="44"/>
          <w:szCs w:val="44"/>
          <w:highlight w:val="none"/>
          <w:lang w:val="en-US" w:eastAsia="zh-CN" w:bidi="ar-SA"/>
        </w:rPr>
        <w:t>关于印发《温州理工学院学科建设与科研</w:t>
      </w:r>
    </w:p>
    <w:p w14:paraId="296365DC">
      <w:pPr>
        <w:spacing w:line="580" w:lineRule="exact"/>
        <w:jc w:val="center"/>
        <w:rPr>
          <w:rFonts w:hint="default" w:ascii="Times New Roman" w:hAnsi="Times New Roman" w:eastAsia="方正小标宋_GBK" w:cs="Times New Roman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snapToGrid/>
          <w:color w:val="auto"/>
          <w:kern w:val="0"/>
          <w:sz w:val="44"/>
          <w:szCs w:val="44"/>
          <w:highlight w:val="none"/>
          <w:lang w:val="en-US" w:eastAsia="zh-CN" w:bidi="ar-SA"/>
        </w:rPr>
        <w:t>量化标准补充规定》的通知</w:t>
      </w:r>
    </w:p>
    <w:p w14:paraId="403F9FC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firstLine="420"/>
        <w:jc w:val="center"/>
        <w:textAlignment w:val="auto"/>
        <w:rPr>
          <w:rFonts w:hint="default" w:ascii="Times New Roman" w:hAnsi="Times New Roman" w:eastAsia="仿宋_GB2312" w:cs="Times New Roman"/>
          <w:snapToGrid/>
          <w:color w:val="auto"/>
          <w:kern w:val="0"/>
          <w:sz w:val="28"/>
          <w:szCs w:val="20"/>
          <w:highlight w:val="none"/>
          <w:lang w:eastAsia="zh-CN"/>
        </w:rPr>
      </w:pPr>
    </w:p>
    <w:p w14:paraId="7891AD7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Autospacing="0" w:afterAutospacing="0" w:line="600" w:lineRule="exact"/>
        <w:ind w:left="0" w:leftChars="0" w:right="0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t>各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  <w:t>二级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t>学院、各部门：</w:t>
      </w:r>
    </w:p>
    <w:p w14:paraId="3213B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t>经202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t>年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t>月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t>日第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b w:val="0"/>
          <w:bCs w:val="0"/>
          <w:snapToGrid/>
          <w:color w:val="auto"/>
          <w:kern w:val="2"/>
          <w:sz w:val="32"/>
          <w:szCs w:val="32"/>
          <w:highlight w:val="none"/>
          <w:lang w:eastAsia="zh-CN"/>
        </w:rPr>
        <w:t>次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t>校长办公会，现将《温州理工学院学科建设与科研量化标准补充规定》印发给你们，请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  <w:t>认真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t>遵照执行。</w:t>
      </w:r>
    </w:p>
    <w:p w14:paraId="59CDCDC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Autospacing="0" w:afterAutospacing="0" w:line="60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</w:pPr>
    </w:p>
    <w:p w14:paraId="4A609CF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beforeAutospacing="0" w:afterAutospacing="0" w:line="60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</w:pPr>
    </w:p>
    <w:p w14:paraId="34202E5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beforeAutospacing="0" w:afterAutospacing="0" w:line="600" w:lineRule="exact"/>
        <w:ind w:left="0" w:leftChars="0" w:right="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eastAsia="zh-CN"/>
        </w:rPr>
        <w:t xml:space="preserve">                     温州理工学院</w:t>
      </w:r>
    </w:p>
    <w:p w14:paraId="1F18628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beforeAutospacing="0" w:afterAutospacing="0" w:line="600" w:lineRule="exact"/>
        <w:ind w:left="0" w:leftChars="0" w:right="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eastAsia="zh-CN"/>
        </w:rPr>
        <w:t xml:space="preserve">                      202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eastAsia="zh-CN"/>
        </w:rPr>
        <w:t>年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eastAsia="zh-CN"/>
        </w:rPr>
        <w:t>月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eastAsia="zh-CN"/>
        </w:rPr>
        <w:t>日</w:t>
      </w:r>
    </w:p>
    <w:p w14:paraId="4D38EDEA">
      <w:pPr>
        <w:rPr>
          <w:rFonts w:hint="eastAsia" w:ascii="方正小标宋_GBK" w:hAnsi="宋体" w:eastAsia="方正小标宋_GBK"/>
          <w:bCs/>
          <w:kern w:val="0"/>
          <w:sz w:val="44"/>
          <w:szCs w:val="44"/>
        </w:rPr>
      </w:pPr>
      <w:r>
        <w:rPr>
          <w:rFonts w:hint="eastAsia" w:ascii="方正小标宋_GBK" w:hAnsi="宋体" w:eastAsia="方正小标宋_GBK"/>
          <w:bCs/>
          <w:kern w:val="0"/>
          <w:sz w:val="44"/>
          <w:szCs w:val="44"/>
        </w:rPr>
        <w:br w:type="page"/>
      </w:r>
    </w:p>
    <w:p w14:paraId="4CC6E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eastAsia="方正小标宋简体"/>
          <w:spacing w:val="0"/>
          <w:sz w:val="44"/>
          <w:szCs w:val="44"/>
          <w:lang w:val="en-US" w:eastAsia="zh-CN"/>
        </w:rPr>
      </w:pPr>
      <w:r>
        <w:rPr>
          <w:rFonts w:hint="eastAsia" w:ascii="方正小标宋_GBK" w:hAnsi="宋体" w:eastAsia="方正小标宋_GBK"/>
          <w:bCs/>
          <w:kern w:val="0"/>
          <w:sz w:val="44"/>
          <w:szCs w:val="44"/>
        </w:rPr>
        <w:t>温州</w:t>
      </w:r>
      <w:r>
        <w:rPr>
          <w:rFonts w:hint="eastAsia" w:ascii="方正小标宋_GBK" w:hAnsi="宋体" w:eastAsia="方正小标宋_GBK"/>
          <w:bCs/>
          <w:kern w:val="0"/>
          <w:sz w:val="44"/>
          <w:szCs w:val="44"/>
          <w:lang w:eastAsia="zh-CN"/>
        </w:rPr>
        <w:t>理工学院</w:t>
      </w:r>
      <w:r>
        <w:rPr>
          <w:rFonts w:hint="eastAsia" w:eastAsia="方正小标宋简体"/>
          <w:spacing w:val="0"/>
          <w:sz w:val="44"/>
          <w:szCs w:val="44"/>
          <w:lang w:val="en-US" w:eastAsia="zh-CN"/>
        </w:rPr>
        <w:t>学科建设与科研量化标准</w:t>
      </w:r>
    </w:p>
    <w:p w14:paraId="5B1AD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eastAsia="方正小标宋简体"/>
          <w:spacing w:val="0"/>
          <w:sz w:val="44"/>
          <w:szCs w:val="44"/>
          <w:lang w:val="en-US" w:eastAsia="zh-CN"/>
        </w:rPr>
      </w:pPr>
      <w:r>
        <w:rPr>
          <w:rFonts w:hint="eastAsia" w:eastAsia="方正小标宋简体"/>
          <w:spacing w:val="0"/>
          <w:sz w:val="44"/>
          <w:szCs w:val="44"/>
          <w:lang w:val="en-US" w:eastAsia="zh-CN"/>
        </w:rPr>
        <w:t>补充规定</w:t>
      </w:r>
    </w:p>
    <w:p w14:paraId="3EB05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eastAsia="方正小标宋简体"/>
          <w:spacing w:val="0"/>
          <w:sz w:val="44"/>
          <w:szCs w:val="44"/>
          <w:lang w:val="en-US" w:eastAsia="zh-CN"/>
        </w:rPr>
      </w:pPr>
    </w:p>
    <w:p w14:paraId="1F46C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根据国家有关文件精神，结合学校科研发展实际，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《温州理工学院学科建设与科研业绩量化标准（试行）》（温理工行政〔2024〕22号）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部分内容作如下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补充规定。</w:t>
      </w:r>
    </w:p>
    <w:p w14:paraId="0EA66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一、学术论文量化标准</w:t>
      </w:r>
    </w:p>
    <w:p w14:paraId="7724E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（一）理工类学术论文</w:t>
      </w:r>
    </w:p>
    <w:tbl>
      <w:tblPr>
        <w:tblStyle w:val="11"/>
        <w:tblpPr w:leftFromText="180" w:rightFromText="180" w:vertAnchor="text" w:horzAnchor="page" w:tblpXSpec="center" w:tblpY="290"/>
        <w:tblOverlap w:val="never"/>
        <w:tblW w:w="96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17"/>
        <w:gridCol w:w="2080"/>
      </w:tblGrid>
      <w:tr w14:paraId="77F51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617" w:type="dxa"/>
            <w:noWrap w:val="0"/>
            <w:vAlign w:val="center"/>
          </w:tcPr>
          <w:p w14:paraId="123BB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4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4"/>
                <w:sz w:val="28"/>
                <w:szCs w:val="28"/>
                <w:highlight w:val="none"/>
              </w:rPr>
              <w:t>类(级)别</w:t>
            </w:r>
          </w:p>
        </w:tc>
        <w:tc>
          <w:tcPr>
            <w:tcW w:w="2080" w:type="dxa"/>
            <w:noWrap w:val="0"/>
            <w:vAlign w:val="center"/>
          </w:tcPr>
          <w:p w14:paraId="7E3A4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4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4"/>
                <w:sz w:val="28"/>
                <w:szCs w:val="28"/>
                <w:highlight w:val="none"/>
              </w:rPr>
              <w:t>类(级)别奖励</w:t>
            </w:r>
          </w:p>
        </w:tc>
      </w:tr>
      <w:tr w14:paraId="56740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617" w:type="dxa"/>
            <w:noWrap w:val="0"/>
            <w:vAlign w:val="center"/>
          </w:tcPr>
          <w:p w14:paraId="17E78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一级期刊（含SCI四区、EI收录期刊论文（不包括单页短文）及学校规定的其他一级期刊）</w:t>
            </w:r>
          </w:p>
        </w:tc>
        <w:tc>
          <w:tcPr>
            <w:tcW w:w="2080" w:type="dxa"/>
            <w:noWrap w:val="0"/>
            <w:vAlign w:val="center"/>
          </w:tcPr>
          <w:p w14:paraId="3C861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  <w:t>100</w:t>
            </w:r>
          </w:p>
        </w:tc>
      </w:tr>
      <w:tr w14:paraId="6A1B3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617" w:type="dxa"/>
            <w:noWrap w:val="0"/>
            <w:vAlign w:val="center"/>
          </w:tcPr>
          <w:p w14:paraId="18B05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二级A期刊</w:t>
            </w:r>
          </w:p>
        </w:tc>
        <w:tc>
          <w:tcPr>
            <w:tcW w:w="2080" w:type="dxa"/>
            <w:noWrap w:val="0"/>
            <w:vAlign w:val="center"/>
          </w:tcPr>
          <w:p w14:paraId="6A324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  <w:t>50</w:t>
            </w:r>
          </w:p>
        </w:tc>
      </w:tr>
      <w:tr w14:paraId="7E245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617" w:type="dxa"/>
            <w:noWrap w:val="0"/>
            <w:vAlign w:val="center"/>
          </w:tcPr>
          <w:p w14:paraId="69A87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二级B期刊</w:t>
            </w:r>
          </w:p>
        </w:tc>
        <w:tc>
          <w:tcPr>
            <w:tcW w:w="2080" w:type="dxa"/>
            <w:noWrap w:val="0"/>
            <w:vAlign w:val="center"/>
          </w:tcPr>
          <w:p w14:paraId="0B0F0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  <w:t>30</w:t>
            </w:r>
          </w:p>
        </w:tc>
      </w:tr>
    </w:tbl>
    <w:p w14:paraId="68780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（二）人文社科类学术论文</w:t>
      </w:r>
    </w:p>
    <w:tbl>
      <w:tblPr>
        <w:tblStyle w:val="11"/>
        <w:tblW w:w="96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28"/>
        <w:gridCol w:w="2223"/>
      </w:tblGrid>
      <w:tr w14:paraId="17B8B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7428" w:type="dxa"/>
            <w:noWrap w:val="0"/>
            <w:vAlign w:val="center"/>
          </w:tcPr>
          <w:p w14:paraId="1D2AC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4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4"/>
                <w:sz w:val="28"/>
                <w:szCs w:val="28"/>
                <w:highlight w:val="none"/>
              </w:rPr>
              <w:t>类(级)别</w:t>
            </w:r>
          </w:p>
        </w:tc>
        <w:tc>
          <w:tcPr>
            <w:tcW w:w="2223" w:type="dxa"/>
            <w:noWrap w:val="0"/>
            <w:vAlign w:val="center"/>
          </w:tcPr>
          <w:p w14:paraId="09C6B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4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4"/>
                <w:sz w:val="28"/>
                <w:szCs w:val="28"/>
                <w:highlight w:val="none"/>
              </w:rPr>
              <w:t>类(级)别奖励</w:t>
            </w:r>
          </w:p>
        </w:tc>
      </w:tr>
      <w:tr w14:paraId="77BC9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7428" w:type="dxa"/>
            <w:shd w:val="clear" w:color="auto" w:fill="auto"/>
            <w:noWrap w:val="0"/>
            <w:vAlign w:val="center"/>
          </w:tcPr>
          <w:p w14:paraId="5FC86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浙江大学国内人文社科权威级学术期刊</w:t>
            </w:r>
          </w:p>
        </w:tc>
        <w:tc>
          <w:tcPr>
            <w:tcW w:w="2223" w:type="dxa"/>
            <w:shd w:val="clear" w:color="auto" w:fill="auto"/>
            <w:noWrap w:val="0"/>
            <w:vAlign w:val="center"/>
          </w:tcPr>
          <w:p w14:paraId="48DE5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  <w:t>600</w:t>
            </w:r>
          </w:p>
        </w:tc>
      </w:tr>
      <w:tr w14:paraId="35054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7428" w:type="dxa"/>
            <w:shd w:val="clear" w:color="auto" w:fill="auto"/>
            <w:noWrap w:val="0"/>
            <w:vAlign w:val="center"/>
          </w:tcPr>
          <w:p w14:paraId="11915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SSCI四区及学校规定的其他人文社科类权威学术期刊</w:t>
            </w:r>
          </w:p>
        </w:tc>
        <w:tc>
          <w:tcPr>
            <w:tcW w:w="2223" w:type="dxa"/>
            <w:shd w:val="clear" w:color="auto" w:fill="auto"/>
            <w:noWrap w:val="0"/>
            <w:vAlign w:val="center"/>
          </w:tcPr>
          <w:p w14:paraId="23D68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  <w:t>150</w:t>
            </w:r>
          </w:p>
        </w:tc>
      </w:tr>
      <w:tr w14:paraId="6E838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7428" w:type="dxa"/>
            <w:shd w:val="clear" w:color="auto" w:fill="auto"/>
            <w:noWrap w:val="0"/>
            <w:vAlign w:val="center"/>
          </w:tcPr>
          <w:p w14:paraId="3B03D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一级期刊</w:t>
            </w:r>
          </w:p>
        </w:tc>
        <w:tc>
          <w:tcPr>
            <w:tcW w:w="2223" w:type="dxa"/>
            <w:shd w:val="clear" w:color="auto" w:fill="auto"/>
            <w:noWrap w:val="0"/>
            <w:vAlign w:val="center"/>
          </w:tcPr>
          <w:p w14:paraId="7E180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  <w:t>140</w:t>
            </w:r>
          </w:p>
        </w:tc>
      </w:tr>
      <w:tr w14:paraId="489B0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7428" w:type="dxa"/>
            <w:shd w:val="clear" w:color="auto" w:fill="auto"/>
            <w:noWrap w:val="0"/>
            <w:vAlign w:val="center"/>
          </w:tcPr>
          <w:p w14:paraId="53320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二级A期刊</w:t>
            </w:r>
          </w:p>
        </w:tc>
        <w:tc>
          <w:tcPr>
            <w:tcW w:w="2223" w:type="dxa"/>
            <w:shd w:val="clear" w:color="auto" w:fill="auto"/>
            <w:noWrap w:val="0"/>
            <w:vAlign w:val="center"/>
          </w:tcPr>
          <w:p w14:paraId="01D4A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  <w:t>100</w:t>
            </w:r>
          </w:p>
        </w:tc>
      </w:tr>
      <w:tr w14:paraId="4502C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7428" w:type="dxa"/>
            <w:shd w:val="clear" w:color="auto" w:fill="auto"/>
            <w:noWrap w:val="0"/>
            <w:vAlign w:val="center"/>
          </w:tcPr>
          <w:p w14:paraId="31FD2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二级B期刊</w:t>
            </w:r>
          </w:p>
        </w:tc>
        <w:tc>
          <w:tcPr>
            <w:tcW w:w="2223" w:type="dxa"/>
            <w:shd w:val="clear" w:color="auto" w:fill="auto"/>
            <w:noWrap w:val="0"/>
            <w:vAlign w:val="center"/>
          </w:tcPr>
          <w:p w14:paraId="0AB12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  <w:t>50</w:t>
            </w:r>
          </w:p>
        </w:tc>
      </w:tr>
    </w:tbl>
    <w:p w14:paraId="3EE32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二、</w:t>
      </w:r>
      <w:r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标准编写与发布量化标准</w:t>
      </w:r>
    </w:p>
    <w:tbl>
      <w:tblPr>
        <w:tblStyle w:val="11"/>
        <w:tblpPr w:leftFromText="180" w:rightFromText="180" w:vertAnchor="text" w:horzAnchor="page" w:tblpX="1141" w:tblpY="290"/>
        <w:tblOverlap w:val="never"/>
        <w:tblW w:w="9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71"/>
        <w:gridCol w:w="3301"/>
        <w:gridCol w:w="3794"/>
      </w:tblGrid>
      <w:tr w14:paraId="7E1FE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2771" w:type="dxa"/>
            <w:noWrap w:val="0"/>
            <w:vAlign w:val="center"/>
          </w:tcPr>
          <w:p w14:paraId="6AD29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类别</w:t>
            </w:r>
          </w:p>
        </w:tc>
        <w:tc>
          <w:tcPr>
            <w:tcW w:w="3301" w:type="dxa"/>
            <w:noWrap w:val="0"/>
            <w:vAlign w:val="center"/>
          </w:tcPr>
          <w:p w14:paraId="5A704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类(级)别奖励</w:t>
            </w:r>
          </w:p>
        </w:tc>
        <w:tc>
          <w:tcPr>
            <w:tcW w:w="3794" w:type="dxa"/>
            <w:noWrap w:val="0"/>
            <w:vAlign w:val="center"/>
          </w:tcPr>
          <w:p w14:paraId="3BC45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03969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2771" w:type="dxa"/>
            <w:noWrap w:val="0"/>
            <w:vAlign w:val="center"/>
          </w:tcPr>
          <w:p w14:paraId="7E8BC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国际标准/国家标准</w:t>
            </w:r>
          </w:p>
        </w:tc>
        <w:tc>
          <w:tcPr>
            <w:tcW w:w="3301" w:type="dxa"/>
            <w:noWrap w:val="0"/>
            <w:vAlign w:val="center"/>
          </w:tcPr>
          <w:p w14:paraId="74E6F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  <w:t>2000</w:t>
            </w:r>
          </w:p>
        </w:tc>
        <w:tc>
          <w:tcPr>
            <w:tcW w:w="3794" w:type="dxa"/>
            <w:vMerge w:val="restart"/>
            <w:noWrap w:val="0"/>
            <w:vAlign w:val="center"/>
          </w:tcPr>
          <w:p w14:paraId="23C6B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sz w:val="28"/>
                <w:szCs w:val="28"/>
                <w:highlight w:val="none"/>
                <w:lang w:val="en-US" w:eastAsia="zh-CN"/>
              </w:rPr>
              <w:t>温州理工学院为第一起草单位，主持编写并正式发布的标准。</w:t>
            </w:r>
          </w:p>
        </w:tc>
      </w:tr>
      <w:tr w14:paraId="3569D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2771" w:type="dxa"/>
            <w:shd w:val="clear" w:color="auto" w:fill="auto"/>
            <w:noWrap w:val="0"/>
            <w:vAlign w:val="center"/>
          </w:tcPr>
          <w:p w14:paraId="6D982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行业标准</w:t>
            </w:r>
          </w:p>
        </w:tc>
        <w:tc>
          <w:tcPr>
            <w:tcW w:w="3301" w:type="dxa"/>
            <w:shd w:val="clear" w:color="auto" w:fill="auto"/>
            <w:noWrap w:val="0"/>
            <w:vAlign w:val="center"/>
          </w:tcPr>
          <w:p w14:paraId="069AF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  <w:t>500</w:t>
            </w:r>
          </w:p>
        </w:tc>
        <w:tc>
          <w:tcPr>
            <w:tcW w:w="3794" w:type="dxa"/>
            <w:vMerge w:val="continue"/>
            <w:noWrap w:val="0"/>
            <w:vAlign w:val="center"/>
          </w:tcPr>
          <w:p w14:paraId="5E1B4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3F6EE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2771" w:type="dxa"/>
            <w:noWrap w:val="0"/>
            <w:vAlign w:val="center"/>
          </w:tcPr>
          <w:p w14:paraId="55218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  <w:t>地方标准（省级以上）/团体标准</w:t>
            </w:r>
          </w:p>
        </w:tc>
        <w:tc>
          <w:tcPr>
            <w:tcW w:w="3301" w:type="dxa"/>
            <w:noWrap w:val="0"/>
            <w:vAlign w:val="center"/>
          </w:tcPr>
          <w:p w14:paraId="0DDD5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-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highlight w:val="none"/>
                <w:lang w:val="en-US" w:eastAsia="zh-CN"/>
              </w:rPr>
              <w:t>300</w:t>
            </w:r>
          </w:p>
        </w:tc>
        <w:tc>
          <w:tcPr>
            <w:tcW w:w="3794" w:type="dxa"/>
            <w:vMerge w:val="continue"/>
            <w:noWrap w:val="0"/>
            <w:vAlign w:val="center"/>
          </w:tcPr>
          <w:p w14:paraId="6C716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3E91D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三、其他说明</w:t>
      </w:r>
    </w:p>
    <w:p w14:paraId="2C7AC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1.本规定自发布之日起施行。原《温州理工学院学科建设与科研业绩量化标准（试行）》（温理工行政〔2024〕22号）与本规定不一致的，以本规定为准。</w:t>
      </w:r>
    </w:p>
    <w:p w14:paraId="656CD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2.2026年1月1日及以后取得的学术论文、标准编写与发布相关业绩，按本规定执行。</w:t>
      </w:r>
    </w:p>
    <w:p w14:paraId="2F3B6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3.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本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规定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由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科研处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负责解释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。</w:t>
      </w:r>
    </w:p>
    <w:p w14:paraId="27EE0AE0"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 w14:paraId="42FCEE4F">
      <w:pP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 w14:paraId="72A7B8DB"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 w14:paraId="5BECB8C0">
      <w:pP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 w14:paraId="10A4AB84"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 w14:paraId="7B9B921B">
      <w:pP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 w14:paraId="02035FF9"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 w14:paraId="7BF25120">
      <w:pP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 w14:paraId="4A6FAF9F"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 w14:paraId="0D9B6F8E">
      <w:pP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 w14:paraId="3C4F78C2"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 w14:paraId="79B75826">
      <w:pP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tbl>
      <w:tblPr>
        <w:tblStyle w:val="8"/>
        <w:tblpPr w:leftFromText="180" w:rightFromText="180" w:vertAnchor="page" w:horzAnchor="page" w:tblpX="1921" w:tblpY="1478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0"/>
      </w:tblGrid>
      <w:tr w14:paraId="15DDD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903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 w14:paraId="1BFB9E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/>
              <w:autoSpaceDE/>
              <w:autoSpaceDN/>
              <w:bidi w:val="0"/>
              <w:spacing w:before="0" w:beforeAutospacing="0" w:after="0" w:afterAutospacing="0" w:line="600" w:lineRule="exact"/>
              <w:ind w:left="0" w:right="0" w:firstLine="320" w:firstLineChars="10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 xml:space="preserve">温州理工学院办公室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日印发</w:t>
            </w:r>
          </w:p>
        </w:tc>
      </w:tr>
    </w:tbl>
    <w:p w14:paraId="14DBAEBE">
      <w:pPr>
        <w:pStyle w:val="2"/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E8ABA1-FCA1-47E5-86FA-141C5F78312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5E44D53-C1D2-4DA8-A0AA-8FE3D6A90E4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3E966C4-9796-46D6-841B-5545D416CA5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B1E0C3F9-D598-4EF4-B1BA-0B85E7C3100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B2CC0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A039EE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A039EE"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dit="readOnly" w:enforcement="1" w:cryptProviderType="rsaFull" w:cryptAlgorithmClass="hash" w:cryptAlgorithmType="typeAny" w:cryptAlgorithmSid="4" w:cryptSpinCount="0" w:hash="Q+zG26gtYqQokGPEp9cdRl0ev6g=" w:salt="2pgSUc6WvAtTMmQuzE4QKg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465E75"/>
    <w:rsid w:val="00B24616"/>
    <w:rsid w:val="01AE147F"/>
    <w:rsid w:val="027D71DE"/>
    <w:rsid w:val="03035935"/>
    <w:rsid w:val="032338E1"/>
    <w:rsid w:val="040000C7"/>
    <w:rsid w:val="0415162B"/>
    <w:rsid w:val="055E6E53"/>
    <w:rsid w:val="0854453D"/>
    <w:rsid w:val="08747B08"/>
    <w:rsid w:val="09063A89"/>
    <w:rsid w:val="0A116B8A"/>
    <w:rsid w:val="0B00275A"/>
    <w:rsid w:val="0B36617C"/>
    <w:rsid w:val="0B9F01C5"/>
    <w:rsid w:val="0BB73AA3"/>
    <w:rsid w:val="0C4E207D"/>
    <w:rsid w:val="0CAA0BCF"/>
    <w:rsid w:val="0CFB7E5D"/>
    <w:rsid w:val="0E146C48"/>
    <w:rsid w:val="0E230C39"/>
    <w:rsid w:val="0FF90E53"/>
    <w:rsid w:val="106C2D6C"/>
    <w:rsid w:val="107E311B"/>
    <w:rsid w:val="108552A4"/>
    <w:rsid w:val="10AA3894"/>
    <w:rsid w:val="10C34956"/>
    <w:rsid w:val="1103023A"/>
    <w:rsid w:val="11427949"/>
    <w:rsid w:val="11DD1A47"/>
    <w:rsid w:val="13CD37F5"/>
    <w:rsid w:val="13F76DF0"/>
    <w:rsid w:val="145206F0"/>
    <w:rsid w:val="16322361"/>
    <w:rsid w:val="165B7F9E"/>
    <w:rsid w:val="17D905BB"/>
    <w:rsid w:val="19A60971"/>
    <w:rsid w:val="1A5605E9"/>
    <w:rsid w:val="1B862808"/>
    <w:rsid w:val="1BA84E74"/>
    <w:rsid w:val="1D0600A4"/>
    <w:rsid w:val="1D5D6FC1"/>
    <w:rsid w:val="1DE52543"/>
    <w:rsid w:val="1E0D5462"/>
    <w:rsid w:val="1E672DC4"/>
    <w:rsid w:val="1E935967"/>
    <w:rsid w:val="1F3C632E"/>
    <w:rsid w:val="203B62B7"/>
    <w:rsid w:val="20A200E4"/>
    <w:rsid w:val="20A7394C"/>
    <w:rsid w:val="20EC5803"/>
    <w:rsid w:val="211A2370"/>
    <w:rsid w:val="22C75BE0"/>
    <w:rsid w:val="22D63328"/>
    <w:rsid w:val="232E2103"/>
    <w:rsid w:val="2338088B"/>
    <w:rsid w:val="24030E99"/>
    <w:rsid w:val="2460453E"/>
    <w:rsid w:val="24B44889"/>
    <w:rsid w:val="25513E86"/>
    <w:rsid w:val="26465E75"/>
    <w:rsid w:val="26BC17D3"/>
    <w:rsid w:val="26C33673"/>
    <w:rsid w:val="26C47B0C"/>
    <w:rsid w:val="27787DF0"/>
    <w:rsid w:val="27A72484"/>
    <w:rsid w:val="27B70919"/>
    <w:rsid w:val="28996270"/>
    <w:rsid w:val="294F02FA"/>
    <w:rsid w:val="29581C87"/>
    <w:rsid w:val="29DA08EE"/>
    <w:rsid w:val="29E259F5"/>
    <w:rsid w:val="29E4351B"/>
    <w:rsid w:val="2A866380"/>
    <w:rsid w:val="2AAB228B"/>
    <w:rsid w:val="2AC1560A"/>
    <w:rsid w:val="2CC21BF8"/>
    <w:rsid w:val="2DA21DDC"/>
    <w:rsid w:val="2E0A72C8"/>
    <w:rsid w:val="2E8B0409"/>
    <w:rsid w:val="2ECE479A"/>
    <w:rsid w:val="2F120B2A"/>
    <w:rsid w:val="2F3E7229"/>
    <w:rsid w:val="2FAD0853"/>
    <w:rsid w:val="30AC4667"/>
    <w:rsid w:val="30D83F84"/>
    <w:rsid w:val="30DD0CC4"/>
    <w:rsid w:val="310426F5"/>
    <w:rsid w:val="311A1AB6"/>
    <w:rsid w:val="32427031"/>
    <w:rsid w:val="32456B21"/>
    <w:rsid w:val="32BA45C2"/>
    <w:rsid w:val="33093FF2"/>
    <w:rsid w:val="33694A91"/>
    <w:rsid w:val="33BB353F"/>
    <w:rsid w:val="33EF143A"/>
    <w:rsid w:val="34036C94"/>
    <w:rsid w:val="346559BF"/>
    <w:rsid w:val="349A75F8"/>
    <w:rsid w:val="34DD4527"/>
    <w:rsid w:val="34E97C37"/>
    <w:rsid w:val="35DF103A"/>
    <w:rsid w:val="38057C75"/>
    <w:rsid w:val="386D5AA4"/>
    <w:rsid w:val="39DF3CFF"/>
    <w:rsid w:val="3A085004"/>
    <w:rsid w:val="3B331C0C"/>
    <w:rsid w:val="3B64270E"/>
    <w:rsid w:val="3B762441"/>
    <w:rsid w:val="3D105D67"/>
    <w:rsid w:val="3D3879AE"/>
    <w:rsid w:val="3E111FAD"/>
    <w:rsid w:val="3E1C2E2C"/>
    <w:rsid w:val="3EC040FF"/>
    <w:rsid w:val="3F235CAB"/>
    <w:rsid w:val="3FB3156E"/>
    <w:rsid w:val="3FC419CD"/>
    <w:rsid w:val="40093884"/>
    <w:rsid w:val="401D2496"/>
    <w:rsid w:val="405745EF"/>
    <w:rsid w:val="4182744A"/>
    <w:rsid w:val="424B6CFD"/>
    <w:rsid w:val="4262727B"/>
    <w:rsid w:val="429531AD"/>
    <w:rsid w:val="43056584"/>
    <w:rsid w:val="44867251"/>
    <w:rsid w:val="448B0D0B"/>
    <w:rsid w:val="44C91833"/>
    <w:rsid w:val="44FD21F8"/>
    <w:rsid w:val="45154A79"/>
    <w:rsid w:val="451F222F"/>
    <w:rsid w:val="454315E6"/>
    <w:rsid w:val="456A4DC4"/>
    <w:rsid w:val="4575533A"/>
    <w:rsid w:val="457A4F0A"/>
    <w:rsid w:val="45A57BAB"/>
    <w:rsid w:val="45EB6DBA"/>
    <w:rsid w:val="4613720A"/>
    <w:rsid w:val="463914F2"/>
    <w:rsid w:val="467A3826"/>
    <w:rsid w:val="486A0C38"/>
    <w:rsid w:val="4A1452FF"/>
    <w:rsid w:val="4BC62629"/>
    <w:rsid w:val="4E173610"/>
    <w:rsid w:val="4E21448E"/>
    <w:rsid w:val="4E4940A8"/>
    <w:rsid w:val="4EB175C0"/>
    <w:rsid w:val="4EDE412D"/>
    <w:rsid w:val="4F714FA1"/>
    <w:rsid w:val="50C35389"/>
    <w:rsid w:val="50F7512B"/>
    <w:rsid w:val="50F96FFC"/>
    <w:rsid w:val="51AF590D"/>
    <w:rsid w:val="51E23F34"/>
    <w:rsid w:val="521D6D1B"/>
    <w:rsid w:val="5221680B"/>
    <w:rsid w:val="54183C3E"/>
    <w:rsid w:val="541E7FAF"/>
    <w:rsid w:val="54210D44"/>
    <w:rsid w:val="54547DDA"/>
    <w:rsid w:val="54576514"/>
    <w:rsid w:val="552A3C28"/>
    <w:rsid w:val="55436A98"/>
    <w:rsid w:val="560B3A5A"/>
    <w:rsid w:val="56121DC3"/>
    <w:rsid w:val="561A1EEF"/>
    <w:rsid w:val="56586573"/>
    <w:rsid w:val="567F1431"/>
    <w:rsid w:val="57541431"/>
    <w:rsid w:val="57AF2B0B"/>
    <w:rsid w:val="57DD2798"/>
    <w:rsid w:val="58E80BC1"/>
    <w:rsid w:val="59C4289D"/>
    <w:rsid w:val="59C70328"/>
    <w:rsid w:val="5A76409B"/>
    <w:rsid w:val="5AAC047B"/>
    <w:rsid w:val="5B0D2022"/>
    <w:rsid w:val="5BC63581"/>
    <w:rsid w:val="5C270EC2"/>
    <w:rsid w:val="5C556587"/>
    <w:rsid w:val="5C6D2BDD"/>
    <w:rsid w:val="5CD01559"/>
    <w:rsid w:val="5D6F0D72"/>
    <w:rsid w:val="5DF9688E"/>
    <w:rsid w:val="5E512226"/>
    <w:rsid w:val="5E8E347A"/>
    <w:rsid w:val="5F182D44"/>
    <w:rsid w:val="5F4D50E3"/>
    <w:rsid w:val="5F6E6E08"/>
    <w:rsid w:val="60C56EFB"/>
    <w:rsid w:val="60F31CBA"/>
    <w:rsid w:val="61F56813"/>
    <w:rsid w:val="622D2FAA"/>
    <w:rsid w:val="630E2DDB"/>
    <w:rsid w:val="630F3B36"/>
    <w:rsid w:val="63A70E8C"/>
    <w:rsid w:val="64426DE8"/>
    <w:rsid w:val="65A96DEB"/>
    <w:rsid w:val="683010FE"/>
    <w:rsid w:val="684921C0"/>
    <w:rsid w:val="68F043A2"/>
    <w:rsid w:val="6A2E6CAD"/>
    <w:rsid w:val="6A813E93"/>
    <w:rsid w:val="6ACA3A8C"/>
    <w:rsid w:val="6ADE7537"/>
    <w:rsid w:val="6BC24763"/>
    <w:rsid w:val="6C845EBC"/>
    <w:rsid w:val="6CF272CA"/>
    <w:rsid w:val="6D793547"/>
    <w:rsid w:val="6DFF34D0"/>
    <w:rsid w:val="6F0B01CF"/>
    <w:rsid w:val="6F1F1ECC"/>
    <w:rsid w:val="6F2D45E9"/>
    <w:rsid w:val="6FD35191"/>
    <w:rsid w:val="71566079"/>
    <w:rsid w:val="71687B5B"/>
    <w:rsid w:val="72DF6B7C"/>
    <w:rsid w:val="73247AB1"/>
    <w:rsid w:val="73903399"/>
    <w:rsid w:val="744228E5"/>
    <w:rsid w:val="745148D6"/>
    <w:rsid w:val="755221AC"/>
    <w:rsid w:val="75554DCC"/>
    <w:rsid w:val="760A5684"/>
    <w:rsid w:val="761C7166"/>
    <w:rsid w:val="76DD7184"/>
    <w:rsid w:val="77AE62E4"/>
    <w:rsid w:val="78112CFA"/>
    <w:rsid w:val="7831514A"/>
    <w:rsid w:val="78E353DE"/>
    <w:rsid w:val="79142376"/>
    <w:rsid w:val="7A772BBC"/>
    <w:rsid w:val="7BA43E85"/>
    <w:rsid w:val="7BF3250D"/>
    <w:rsid w:val="7DA21751"/>
    <w:rsid w:val="7E386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  <w:rPr>
      <w:rFonts w:ascii="Calibri" w:hAnsi="Calibri" w:eastAsia="宋体" w:cs="黑体"/>
    </w:rPr>
  </w:style>
  <w:style w:type="paragraph" w:styleId="3">
    <w:name w:val="Body Text"/>
    <w:basedOn w:val="1"/>
    <w:qFormat/>
    <w:uiPriority w:val="0"/>
    <w:pPr>
      <w:spacing w:after="120"/>
    </w:pPr>
    <w:rPr>
      <w:rFonts w:ascii="等线" w:hAnsi="等线" w:eastAsia="等线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598</Words>
  <Characters>659</Characters>
  <Lines>0</Lines>
  <Paragraphs>0</Paragraphs>
  <TotalTime>0</TotalTime>
  <ScaleCrop>false</ScaleCrop>
  <LinksUpToDate>false</LinksUpToDate>
  <CharactersWithSpaces>718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2026-09-21T06:19:00Z</dcterms:created>
  <dc:creator>毛传雨</dc:creator>
  <cp:lastModifiedBy>欧欧</cp:lastModifiedBy>
  <dcterms:modified xsi:type="dcterms:W3CDTF">2026-10-15T02:14:06Z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6CF6A1ABD7844E548C293E44A62DDD93_13</vt:lpwstr>
  </property>
  <property fmtid="{D5CDD505-2E9C-101B-9397-08002B2CF9AE}" pid="4" name="KSOTemplateDocerSaveRecord">
    <vt:lpwstr>eyJoZGlkIjoiNmJkZDFiMmIwYTk3YzE2ZTg3Nzg4N2FhOTMyMTlkNTAiLCJ1c2VySWQiOiIyMzE3MDQ0MjAifQ==</vt:lpwstr>
  </property>
</Properties>
</file>