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A718B">
      <w:pPr>
        <w:rPr>
          <w:rFonts w:hint="eastAsia" w:ascii="仿宋_GB2312" w:hAnsi="仿宋_GB2312" w:eastAsia="仿宋_GB2312" w:cs="仿宋_GB2312"/>
          <w:sz w:val="32"/>
          <w:szCs w:val="32"/>
          <w:lang w:eastAsia="zh-CN"/>
        </w:rPr>
      </w:pPr>
      <w:bookmarkStart w:id="0" w:name="_GoBack"/>
      <w:r>
        <w:rPr>
          <w:rFonts w:hint="eastAsia" w:ascii="仿宋_GB2312" w:hAnsi="仿宋_GB2312" w:eastAsia="仿宋_GB2312" w:cs="仿宋_GB2312"/>
          <w:sz w:val="32"/>
          <w:szCs w:val="32"/>
          <w:lang w:eastAsia="zh-CN"/>
        </w:rPr>
        <w:drawing>
          <wp:anchor distT="0" distB="0" distL="114300" distR="114300" simplePos="0" relativeHeight="251660288" behindDoc="1" locked="0" layoutInCell="1" allowOverlap="1">
            <wp:simplePos x="0" y="0"/>
            <wp:positionH relativeFrom="column">
              <wp:posOffset>-1143000</wp:posOffset>
            </wp:positionH>
            <wp:positionV relativeFrom="paragraph">
              <wp:posOffset>-914400</wp:posOffset>
            </wp:positionV>
            <wp:extent cx="7560310" cy="3727450"/>
            <wp:effectExtent l="0" t="0" r="2540" b="6350"/>
            <wp:wrapNone/>
            <wp:docPr id="1" name="图片 1" descr="温州理工学院文件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温州理工学院文件头"/>
                    <pic:cNvPicPr>
                      <a:picLocks noChangeAspect="1"/>
                    </pic:cNvPicPr>
                  </pic:nvPicPr>
                  <pic:blipFill>
                    <a:blip r:embed="rId5"/>
                    <a:stretch>
                      <a:fillRect/>
                    </a:stretch>
                  </pic:blipFill>
                  <pic:spPr>
                    <a:xfrm>
                      <a:off x="0" y="0"/>
                      <a:ext cx="7560310" cy="3727450"/>
                    </a:xfrm>
                    <a:prstGeom prst="rect">
                      <a:avLst/>
                    </a:prstGeom>
                  </pic:spPr>
                </pic:pic>
              </a:graphicData>
            </a:graphic>
          </wp:anchor>
        </w:drawing>
      </w:r>
      <w:bookmarkEnd w:id="0"/>
    </w:p>
    <w:p w14:paraId="0F807130">
      <w:pPr>
        <w:rPr>
          <w:rFonts w:hint="eastAsia" w:ascii="仿宋_GB2312" w:hAnsi="仿宋_GB2312" w:eastAsia="仿宋_GB2312" w:cs="仿宋_GB2312"/>
          <w:sz w:val="32"/>
          <w:szCs w:val="32"/>
        </w:rPr>
      </w:pPr>
    </w:p>
    <w:p w14:paraId="2F1503D0">
      <w:pPr>
        <w:rPr>
          <w:rFonts w:hint="eastAsia" w:ascii="仿宋_GB2312" w:hAnsi="仿宋_GB2312" w:eastAsia="仿宋_GB2312" w:cs="仿宋_GB2312"/>
          <w:sz w:val="32"/>
          <w:szCs w:val="32"/>
        </w:rPr>
      </w:pPr>
    </w:p>
    <w:p w14:paraId="4ECA57B4">
      <w:pPr>
        <w:rPr>
          <w:rFonts w:hint="eastAsia" w:ascii="仿宋_GB2312" w:hAnsi="仿宋_GB2312" w:eastAsia="仿宋_GB2312" w:cs="仿宋_GB2312"/>
          <w:sz w:val="32"/>
          <w:szCs w:val="32"/>
          <w:lang w:eastAsia="zh-CN"/>
        </w:rPr>
      </w:pPr>
    </w:p>
    <w:p w14:paraId="58907945">
      <w:pPr>
        <w:rPr>
          <w:rFonts w:hint="eastAsia" w:ascii="仿宋_GB2312" w:hAnsi="仿宋_GB2312" w:eastAsia="仿宋_GB2312" w:cs="仿宋_GB2312"/>
          <w:sz w:val="32"/>
          <w:szCs w:val="32"/>
          <w:lang w:eastAsia="zh-CN"/>
        </w:rPr>
      </w:pPr>
    </w:p>
    <w:p w14:paraId="6E91DFB6">
      <w:pPr>
        <w:keepNext w:val="0"/>
        <w:keepLines w:val="0"/>
        <w:pageBreakBefore w:val="0"/>
        <w:widowControl/>
        <w:kinsoku/>
        <w:wordWrap/>
        <w:overflowPunct/>
        <w:topLinePunct w:val="0"/>
        <w:autoSpaceDE w:val="0"/>
        <w:autoSpaceDN w:val="0"/>
        <w:bidi w:val="0"/>
        <w:adjustRightInd w:val="0"/>
        <w:snapToGrid w:val="0"/>
        <w:spacing w:line="600" w:lineRule="exact"/>
        <w:jc w:val="left"/>
        <w:textAlignment w:val="baseline"/>
        <w:rPr>
          <w:rFonts w:hint="default" w:ascii="Times New Roman" w:hAnsi="Times New Roman" w:eastAsia="方正小标宋_GBK" w:cs="Times New Roman"/>
          <w:snapToGrid/>
          <w:color w:val="000000"/>
          <w:kern w:val="0"/>
          <w:sz w:val="44"/>
          <w:szCs w:val="44"/>
          <w:highlight w:val="none"/>
          <w:lang w:val="en-US" w:eastAsia="zh-CN" w:bidi="ar-SA"/>
        </w:rPr>
      </w:pPr>
    </w:p>
    <w:p w14:paraId="26D49A83">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方正小标宋_GBK" w:cs="Times New Roman"/>
          <w:snapToGrid/>
          <w:color w:val="000000"/>
          <w:kern w:val="0"/>
          <w:sz w:val="44"/>
          <w:szCs w:val="44"/>
          <w:highlight w:val="none"/>
          <w:lang w:val="en-US" w:eastAsia="zh-CN" w:bidi="ar-SA"/>
        </w:rPr>
      </w:pPr>
      <w:r>
        <w:rPr>
          <w:rFonts w:hint="default" w:ascii="Times New Roman" w:hAnsi="Times New Roman" w:eastAsia="仿宋_GB2312" w:cs="Times New Roman"/>
          <w:color w:val="000000"/>
          <w:sz w:val="32"/>
          <w:szCs w:val="32"/>
          <w:highlight w:val="none"/>
        </w:rPr>
        <w:t>温理工</w:t>
      </w:r>
      <w:r>
        <w:rPr>
          <w:rFonts w:hint="eastAsia" w:ascii="Times New Roman" w:hAnsi="Times New Roman" w:eastAsia="仿宋_GB2312" w:cs="Times New Roman"/>
          <w:color w:val="000000"/>
          <w:sz w:val="32"/>
          <w:szCs w:val="32"/>
          <w:highlight w:val="none"/>
          <w:lang w:val="en-US" w:eastAsia="zh-CN"/>
        </w:rPr>
        <w:t>学术</w:t>
      </w:r>
      <w:r>
        <w:rPr>
          <w:rFonts w:hint="default" w:ascii="Times New Roman" w:hAnsi="Times New Roman" w:eastAsia="仿宋_GB2312" w:cs="Times New Roman"/>
          <w:color w:val="000000"/>
          <w:sz w:val="32"/>
          <w:szCs w:val="32"/>
          <w:highlight w:val="none"/>
          <w:lang w:val="en-US" w:eastAsia="zh-CN"/>
        </w:rPr>
        <w:t>发</w:t>
      </w:r>
      <w:r>
        <w:rPr>
          <w:rFonts w:hint="default" w:ascii="Times New Roman" w:hAnsi="Times New Roman" w:eastAsia="仿宋_GB2312" w:cs="Times New Roman"/>
          <w:color w:val="000000"/>
          <w:sz w:val="32"/>
          <w:szCs w:val="32"/>
          <w:highlight w:val="none"/>
        </w:rPr>
        <w:t>〔202</w:t>
      </w:r>
      <w:r>
        <w:rPr>
          <w:rFonts w:hint="default"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号</w:t>
      </w:r>
    </w:p>
    <w:p w14:paraId="1E66AF96">
      <w:pPr>
        <w:keepNext w:val="0"/>
        <w:keepLines w:val="0"/>
        <w:pageBreakBefore w:val="0"/>
        <w:widowControl/>
        <w:kinsoku/>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方正小标宋_GBK" w:cs="Times New Roman"/>
          <w:snapToGrid/>
          <w:color w:val="000000"/>
          <w:kern w:val="0"/>
          <w:sz w:val="44"/>
          <w:szCs w:val="44"/>
          <w:highlight w:val="none"/>
          <w:lang w:val="en-US" w:eastAsia="zh-CN" w:bidi="ar-SA"/>
        </w:rPr>
      </w:pPr>
    </w:p>
    <w:p w14:paraId="72131819">
      <w:pPr>
        <w:widowControl/>
        <w:spacing w:line="600" w:lineRule="exact"/>
        <w:jc w:val="center"/>
        <w:rPr>
          <w:rFonts w:hint="eastAsia" w:ascii="方正小标宋_GBK" w:hAnsi="宋体" w:eastAsia="方正小标宋_GBK" w:cs="Times New Roman"/>
          <w:snapToGrid/>
          <w:sz w:val="44"/>
          <w:szCs w:val="44"/>
          <w:lang w:val="en-US" w:eastAsia="zh-CN"/>
        </w:rPr>
      </w:pPr>
      <w:r>
        <w:rPr>
          <w:rFonts w:hint="eastAsia" w:ascii="方正小标宋_GBK" w:hAnsi="宋体" w:eastAsia="方正小标宋_GBK" w:cs="Times New Roman"/>
          <w:sz w:val="44"/>
          <w:szCs w:val="44"/>
          <w:lang w:val="en-US" w:eastAsia="zh-CN"/>
        </w:rPr>
        <w:t>关于印发《温州理工学院学术伦理委员会</w:t>
      </w:r>
    </w:p>
    <w:p w14:paraId="7E676F22">
      <w:pPr>
        <w:widowControl/>
        <w:spacing w:line="600" w:lineRule="exact"/>
        <w:jc w:val="center"/>
        <w:rPr>
          <w:rFonts w:hint="eastAsia" w:ascii="方正小标宋_GBK" w:hAnsi="宋体" w:eastAsia="方正小标宋_GBK" w:cs="Times New Roman"/>
          <w:sz w:val="44"/>
          <w:szCs w:val="44"/>
          <w:lang w:val="en-US" w:eastAsia="zh-CN"/>
        </w:rPr>
      </w:pPr>
      <w:r>
        <w:rPr>
          <w:rFonts w:hint="eastAsia" w:ascii="方正小标宋_GBK" w:hAnsi="宋体" w:eastAsia="方正小标宋_GBK" w:cs="Times New Roman"/>
          <w:sz w:val="44"/>
          <w:szCs w:val="44"/>
          <w:lang w:val="en-US" w:eastAsia="zh-CN"/>
        </w:rPr>
        <w:t>章程》的通知</w:t>
      </w:r>
    </w:p>
    <w:p w14:paraId="264D9868">
      <w:pPr>
        <w:keepNext w:val="0"/>
        <w:keepLines w:val="0"/>
        <w:pageBreakBefore w:val="0"/>
        <w:kinsoku/>
        <w:wordWrap/>
        <w:overflowPunct/>
        <w:topLinePunct w:val="0"/>
        <w:autoSpaceDE/>
        <w:autoSpaceDN/>
        <w:bidi w:val="0"/>
        <w:spacing w:line="560" w:lineRule="exact"/>
        <w:jc w:val="both"/>
        <w:textAlignment w:val="auto"/>
        <w:rPr>
          <w:rFonts w:hint="eastAsia" w:ascii="方正小标宋_GBK" w:hAnsi="方正小标宋_GBK" w:eastAsia="方正小标宋_GBK" w:cs="方正小标宋_GBK"/>
          <w:color w:val="000000"/>
          <w:sz w:val="44"/>
          <w:szCs w:val="44"/>
          <w:lang w:eastAsia="zh-CN"/>
        </w:rPr>
      </w:pPr>
    </w:p>
    <w:p w14:paraId="25B1637C">
      <w:pPr>
        <w:keepNext w:val="0"/>
        <w:keepLines w:val="0"/>
        <w:pageBreakBefore w:val="0"/>
        <w:widowControl w:val="0"/>
        <w:kinsoku/>
        <w:wordWrap/>
        <w:overflowPunct/>
        <w:topLinePunct/>
        <w:autoSpaceDE/>
        <w:autoSpaceDN/>
        <w:bidi w:val="0"/>
        <w:adjustRightInd w:val="0"/>
        <w:snapToGrid/>
        <w:spacing w:beforeAutospacing="0" w:afterAutospacing="0" w:line="600" w:lineRule="exact"/>
        <w:ind w:left="0" w:leftChars="0" w:right="0"/>
        <w:jc w:val="both"/>
        <w:textAlignment w:val="auto"/>
        <w:rPr>
          <w:rFonts w:hint="default" w:ascii="Times New Roman" w:hAnsi="Times New Roman" w:eastAsia="仿宋_GB2312" w:cs="Times New Roman"/>
          <w:snapToGrid/>
          <w:color w:val="000000"/>
          <w:kern w:val="2"/>
          <w:sz w:val="32"/>
          <w:szCs w:val="32"/>
          <w:highlight w:val="none"/>
          <w:lang w:eastAsia="zh-CN"/>
        </w:rPr>
      </w:pPr>
      <w:r>
        <w:rPr>
          <w:rFonts w:hint="default" w:ascii="Times New Roman" w:hAnsi="Times New Roman" w:eastAsia="仿宋_GB2312" w:cs="Times New Roman"/>
          <w:snapToGrid/>
          <w:color w:val="000000"/>
          <w:kern w:val="2"/>
          <w:sz w:val="32"/>
          <w:szCs w:val="32"/>
          <w:highlight w:val="none"/>
          <w:lang w:eastAsia="zh-CN"/>
        </w:rPr>
        <w:t>各二级学院、各部门：</w:t>
      </w:r>
    </w:p>
    <w:p w14:paraId="409809B3">
      <w:pPr>
        <w:keepNext w:val="0"/>
        <w:keepLines w:val="0"/>
        <w:pageBreakBefore w:val="0"/>
        <w:widowControl w:val="0"/>
        <w:tabs>
          <w:tab w:val="left" w:pos="4620"/>
        </w:tabs>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snapToGrid/>
          <w:color w:val="000000"/>
          <w:kern w:val="2"/>
          <w:sz w:val="32"/>
          <w:szCs w:val="32"/>
          <w:highlight w:val="none"/>
          <w:lang w:eastAsia="zh-CN"/>
        </w:rPr>
      </w:pPr>
      <w:r>
        <w:rPr>
          <w:rFonts w:hint="default" w:ascii="Times New Roman" w:hAnsi="Times New Roman" w:eastAsia="仿宋_GB2312" w:cs="Times New Roman"/>
          <w:snapToGrid/>
          <w:color w:val="000000"/>
          <w:kern w:val="2"/>
          <w:sz w:val="32"/>
          <w:szCs w:val="32"/>
          <w:highlight w:val="none"/>
          <w:lang w:eastAsia="zh-CN"/>
        </w:rPr>
        <w:t>现将《温州理工学院学术</w:t>
      </w:r>
      <w:r>
        <w:rPr>
          <w:rFonts w:hint="eastAsia" w:ascii="Times New Roman" w:hAnsi="Times New Roman" w:eastAsia="仿宋_GB2312" w:cs="Times New Roman"/>
          <w:snapToGrid/>
          <w:color w:val="000000"/>
          <w:kern w:val="2"/>
          <w:sz w:val="32"/>
          <w:szCs w:val="32"/>
          <w:highlight w:val="none"/>
          <w:lang w:val="en-US" w:eastAsia="zh-CN"/>
        </w:rPr>
        <w:t>伦理</w:t>
      </w:r>
      <w:r>
        <w:rPr>
          <w:rFonts w:hint="default" w:ascii="Times New Roman" w:hAnsi="Times New Roman" w:eastAsia="仿宋_GB2312" w:cs="Times New Roman"/>
          <w:snapToGrid/>
          <w:color w:val="000000"/>
          <w:kern w:val="2"/>
          <w:sz w:val="32"/>
          <w:szCs w:val="32"/>
          <w:highlight w:val="none"/>
          <w:lang w:eastAsia="zh-CN"/>
        </w:rPr>
        <w:t>委员会章程》印发给你们，请</w:t>
      </w:r>
      <w:r>
        <w:rPr>
          <w:rFonts w:hint="default" w:ascii="Times New Roman" w:hAnsi="Times New Roman" w:eastAsia="仿宋_GB2312" w:cs="Times New Roman"/>
          <w:snapToGrid/>
          <w:color w:val="000000"/>
          <w:kern w:val="2"/>
          <w:sz w:val="32"/>
          <w:szCs w:val="32"/>
          <w:highlight w:val="none"/>
          <w:lang w:val="en-US" w:eastAsia="zh-CN"/>
        </w:rPr>
        <w:t>认真</w:t>
      </w:r>
      <w:r>
        <w:rPr>
          <w:rFonts w:hint="default" w:ascii="Times New Roman" w:hAnsi="Times New Roman" w:eastAsia="仿宋_GB2312" w:cs="Times New Roman"/>
          <w:snapToGrid/>
          <w:color w:val="000000"/>
          <w:kern w:val="2"/>
          <w:sz w:val="32"/>
          <w:szCs w:val="32"/>
          <w:highlight w:val="none"/>
          <w:lang w:eastAsia="zh-CN"/>
        </w:rPr>
        <w:t>遵照执行。</w:t>
      </w:r>
    </w:p>
    <w:p w14:paraId="7628B10D">
      <w:pPr>
        <w:rPr>
          <w:rFonts w:hint="default" w:ascii="Times New Roman" w:hAnsi="Times New Roman" w:eastAsia="宋体" w:cs="Times New Roman"/>
          <w:sz w:val="21"/>
          <w:szCs w:val="24"/>
          <w:lang w:eastAsia="zh-CN"/>
        </w:rPr>
      </w:pPr>
    </w:p>
    <w:p w14:paraId="67E685D2">
      <w:pPr>
        <w:keepNext w:val="0"/>
        <w:keepLines w:val="0"/>
        <w:pageBreakBefore w:val="0"/>
        <w:widowControl w:val="0"/>
        <w:kinsoku/>
        <w:wordWrap/>
        <w:overflowPunct/>
        <w:topLinePunct/>
        <w:autoSpaceDE/>
        <w:autoSpaceDN/>
        <w:bidi w:val="0"/>
        <w:adjustRightInd w:val="0"/>
        <w:snapToGrid/>
        <w:spacing w:beforeAutospacing="0" w:afterAutospacing="0" w:line="600" w:lineRule="exact"/>
        <w:ind w:left="0" w:leftChars="0" w:right="0" w:firstLine="640" w:firstLineChars="200"/>
        <w:jc w:val="both"/>
        <w:textAlignment w:val="auto"/>
        <w:rPr>
          <w:rFonts w:hint="default" w:ascii="Times New Roman" w:hAnsi="Times New Roman" w:eastAsia="仿宋_GB2312" w:cs="Times New Roman"/>
          <w:snapToGrid/>
          <w:color w:val="000000"/>
          <w:kern w:val="2"/>
          <w:sz w:val="32"/>
          <w:szCs w:val="32"/>
          <w:highlight w:val="none"/>
          <w:lang w:eastAsia="zh-CN"/>
        </w:rPr>
      </w:pPr>
    </w:p>
    <w:p w14:paraId="4B2CDD3D">
      <w:pPr>
        <w:keepNext w:val="0"/>
        <w:keepLines w:val="0"/>
        <w:pageBreakBefore w:val="0"/>
        <w:widowControl w:val="0"/>
        <w:kinsoku/>
        <w:wordWrap/>
        <w:overflowPunct/>
        <w:topLinePunct/>
        <w:autoSpaceDE/>
        <w:autoSpaceDN/>
        <w:bidi w:val="0"/>
        <w:adjustRightInd w:val="0"/>
        <w:snapToGrid w:val="0"/>
        <w:spacing w:beforeAutospacing="0" w:afterAutospacing="0" w:line="600" w:lineRule="exact"/>
        <w:ind w:left="0" w:leftChars="0" w:right="0" w:firstLine="640" w:firstLineChars="200"/>
        <w:jc w:val="center"/>
        <w:textAlignment w:val="auto"/>
        <w:rPr>
          <w:rFonts w:hint="default" w:ascii="Times New Roman" w:hAnsi="Times New Roman" w:eastAsia="仿宋_GB2312" w:cs="Times New Roman"/>
          <w:snapToGrid/>
          <w:color w:val="000000"/>
          <w:kern w:val="2"/>
          <w:sz w:val="32"/>
          <w:szCs w:val="28"/>
          <w:highlight w:val="none"/>
          <w:lang w:val="en-US" w:eastAsia="zh-CN"/>
        </w:rPr>
      </w:pPr>
      <w:r>
        <w:rPr>
          <w:rFonts w:hint="default" w:ascii="Times New Roman" w:hAnsi="Times New Roman" w:eastAsia="仿宋_GB2312" w:cs="Times New Roman"/>
          <w:snapToGrid/>
          <w:color w:val="000000"/>
          <w:kern w:val="2"/>
          <w:sz w:val="32"/>
          <w:szCs w:val="28"/>
          <w:highlight w:val="none"/>
          <w:lang w:eastAsia="zh-CN"/>
        </w:rPr>
        <w:t xml:space="preserve">              </w:t>
      </w:r>
      <w:r>
        <w:rPr>
          <w:rFonts w:hint="default" w:ascii="Times New Roman" w:hAnsi="Times New Roman" w:eastAsia="仿宋_GB2312" w:cs="Times New Roman"/>
          <w:snapToGrid/>
          <w:color w:val="000000"/>
          <w:kern w:val="2"/>
          <w:sz w:val="32"/>
          <w:szCs w:val="28"/>
          <w:highlight w:val="none"/>
          <w:lang w:val="en-US" w:eastAsia="zh-CN"/>
        </w:rPr>
        <w:t>温州理工学院</w:t>
      </w:r>
      <w:r>
        <w:rPr>
          <w:rFonts w:hint="eastAsia" w:ascii="Times New Roman" w:hAnsi="Times New Roman" w:eastAsia="仿宋_GB2312" w:cs="Times New Roman"/>
          <w:snapToGrid/>
          <w:color w:val="000000"/>
          <w:kern w:val="2"/>
          <w:sz w:val="32"/>
          <w:szCs w:val="28"/>
          <w:highlight w:val="none"/>
          <w:lang w:val="en-US" w:eastAsia="zh-CN"/>
        </w:rPr>
        <w:t>学术委员会</w:t>
      </w:r>
    </w:p>
    <w:p w14:paraId="5C88DE9D">
      <w:pPr>
        <w:keepNext w:val="0"/>
        <w:keepLines w:val="0"/>
        <w:pageBreakBefore w:val="0"/>
        <w:widowControl w:val="0"/>
        <w:kinsoku/>
        <w:wordWrap/>
        <w:overflowPunct/>
        <w:topLinePunct/>
        <w:autoSpaceDE/>
        <w:autoSpaceDN/>
        <w:bidi w:val="0"/>
        <w:adjustRightInd w:val="0"/>
        <w:snapToGrid w:val="0"/>
        <w:spacing w:beforeAutospacing="0" w:afterAutospacing="0" w:line="600" w:lineRule="exact"/>
        <w:ind w:left="0" w:leftChars="0" w:right="0" w:firstLine="640" w:firstLineChars="200"/>
        <w:jc w:val="center"/>
        <w:textAlignment w:val="auto"/>
        <w:rPr>
          <w:rFonts w:hint="default" w:ascii="Times New Roman" w:hAnsi="Times New Roman" w:eastAsia="仿宋_GB2312" w:cs="Times New Roman"/>
          <w:snapToGrid/>
          <w:color w:val="000000"/>
          <w:kern w:val="2"/>
          <w:sz w:val="32"/>
          <w:szCs w:val="32"/>
          <w:highlight w:val="none"/>
          <w:lang w:eastAsia="zh-CN"/>
        </w:rPr>
      </w:pPr>
      <w:r>
        <w:rPr>
          <w:rFonts w:hint="default" w:ascii="Times New Roman" w:hAnsi="Times New Roman" w:eastAsia="仿宋_GB2312" w:cs="Times New Roman"/>
          <w:snapToGrid/>
          <w:color w:val="000000"/>
          <w:kern w:val="2"/>
          <w:sz w:val="32"/>
          <w:szCs w:val="28"/>
          <w:highlight w:val="none"/>
          <w:lang w:eastAsia="zh-CN"/>
        </w:rPr>
        <w:t xml:space="preserve">              20</w:t>
      </w:r>
      <w:r>
        <w:rPr>
          <w:rFonts w:hint="default" w:ascii="Times New Roman" w:hAnsi="Times New Roman" w:eastAsia="仿宋_GB2312" w:cs="Times New Roman"/>
          <w:snapToGrid/>
          <w:color w:val="000000"/>
          <w:kern w:val="2"/>
          <w:sz w:val="32"/>
          <w:szCs w:val="28"/>
          <w:highlight w:val="none"/>
          <w:lang w:val="en-US" w:eastAsia="zh-CN"/>
        </w:rPr>
        <w:t>26</w:t>
      </w:r>
      <w:r>
        <w:rPr>
          <w:rFonts w:hint="default" w:ascii="Times New Roman" w:hAnsi="Times New Roman" w:eastAsia="仿宋_GB2312" w:cs="Times New Roman"/>
          <w:snapToGrid/>
          <w:color w:val="000000"/>
          <w:kern w:val="2"/>
          <w:sz w:val="32"/>
          <w:szCs w:val="28"/>
          <w:highlight w:val="none"/>
          <w:lang w:eastAsia="zh-CN"/>
        </w:rPr>
        <w:t>年</w:t>
      </w:r>
      <w:r>
        <w:rPr>
          <w:rFonts w:hint="eastAsia" w:ascii="Times New Roman" w:hAnsi="Times New Roman" w:eastAsia="仿宋_GB2312" w:cs="Times New Roman"/>
          <w:snapToGrid/>
          <w:color w:val="000000"/>
          <w:kern w:val="2"/>
          <w:sz w:val="32"/>
          <w:szCs w:val="28"/>
          <w:highlight w:val="none"/>
          <w:lang w:val="en-US" w:eastAsia="zh-CN"/>
        </w:rPr>
        <w:t>8</w:t>
      </w:r>
      <w:r>
        <w:rPr>
          <w:rFonts w:hint="default" w:ascii="Times New Roman" w:hAnsi="Times New Roman" w:eastAsia="仿宋_GB2312" w:cs="Times New Roman"/>
          <w:snapToGrid/>
          <w:color w:val="000000"/>
          <w:kern w:val="2"/>
          <w:sz w:val="32"/>
          <w:szCs w:val="28"/>
          <w:highlight w:val="none"/>
          <w:lang w:eastAsia="zh-CN"/>
        </w:rPr>
        <w:t>月</w:t>
      </w:r>
      <w:r>
        <w:rPr>
          <w:rFonts w:hint="eastAsia" w:ascii="Times New Roman" w:hAnsi="Times New Roman" w:eastAsia="仿宋_GB2312" w:cs="Times New Roman"/>
          <w:snapToGrid/>
          <w:color w:val="000000"/>
          <w:kern w:val="2"/>
          <w:sz w:val="32"/>
          <w:szCs w:val="28"/>
          <w:highlight w:val="none"/>
          <w:lang w:val="en-US" w:eastAsia="zh-CN"/>
        </w:rPr>
        <w:t>14</w:t>
      </w:r>
      <w:r>
        <w:rPr>
          <w:rFonts w:hint="default" w:ascii="Times New Roman" w:hAnsi="Times New Roman" w:eastAsia="仿宋_GB2312" w:cs="Times New Roman"/>
          <w:snapToGrid/>
          <w:color w:val="000000"/>
          <w:kern w:val="2"/>
          <w:sz w:val="32"/>
          <w:szCs w:val="28"/>
          <w:highlight w:val="none"/>
          <w:lang w:eastAsia="zh-CN"/>
        </w:rPr>
        <w:t>日</w:t>
      </w:r>
    </w:p>
    <w:p w14:paraId="117F752E">
      <w:pPr>
        <w:kinsoku/>
        <w:wordWrap/>
        <w:overflowPunct/>
        <w:topLinePunct w:val="0"/>
        <w:autoSpaceDE/>
        <w:autoSpaceDN/>
        <w:bidi w:val="0"/>
        <w:adjustRightInd/>
        <w:snapToGrid/>
        <w:rPr>
          <w:rFonts w:hint="default" w:ascii="Times New Roman" w:hAnsi="Times New Roman" w:eastAsia="仿宋_GB2312" w:cs="Times New Roman"/>
          <w:snapToGrid/>
          <w:color w:val="000000"/>
          <w:kern w:val="2"/>
          <w:sz w:val="32"/>
          <w:szCs w:val="32"/>
          <w:highlight w:val="none"/>
          <w:lang w:eastAsia="zh-CN"/>
        </w:rPr>
      </w:pPr>
      <w:r>
        <w:rPr>
          <w:rFonts w:hint="default" w:ascii="Times New Roman" w:hAnsi="Times New Roman" w:eastAsia="仿宋_GB2312" w:cs="Times New Roman"/>
          <w:snapToGrid/>
          <w:color w:val="000000"/>
          <w:kern w:val="2"/>
          <w:sz w:val="32"/>
          <w:szCs w:val="32"/>
          <w:highlight w:val="none"/>
          <w:lang w:eastAsia="zh-CN"/>
        </w:rPr>
        <w:br w:type="page" w:clear="all"/>
      </w:r>
    </w:p>
    <w:p w14:paraId="0EBC6728">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温州理工学院学术伦理委员会章程</w:t>
      </w:r>
    </w:p>
    <w:p w14:paraId="29AF2675">
      <w:pPr>
        <w:spacing w:line="600" w:lineRule="exact"/>
        <w:rPr>
          <w:rFonts w:ascii="方正小标宋_GBK" w:hAnsi="方正小标宋_GBK" w:eastAsia="方正小标宋_GBK" w:cs="方正小标宋_GBK"/>
          <w:sz w:val="44"/>
          <w:szCs w:val="44"/>
        </w:rPr>
      </w:pPr>
    </w:p>
    <w:p w14:paraId="262D06E4">
      <w:pPr>
        <w:spacing w:line="600" w:lineRule="exact"/>
        <w:jc w:val="center"/>
        <w:rPr>
          <w:rFonts w:ascii="黑体" w:hAnsi="黑体" w:eastAsia="黑体" w:cs="黑体"/>
          <w:sz w:val="32"/>
          <w:szCs w:val="32"/>
        </w:rPr>
      </w:pPr>
      <w:r>
        <w:rPr>
          <w:rFonts w:hint="eastAsia" w:ascii="黑体" w:hAnsi="黑体" w:eastAsia="黑体" w:cs="黑体"/>
          <w:sz w:val="32"/>
          <w:szCs w:val="32"/>
        </w:rPr>
        <w:t>第一章 总 则</w:t>
      </w:r>
    </w:p>
    <w:p w14:paraId="34475F24">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第一条  </w:t>
      </w:r>
      <w:r>
        <w:rPr>
          <w:rFonts w:ascii="仿宋_GB2312" w:hAnsi="仿宋_GB2312" w:eastAsia="仿宋_GB2312" w:cs="仿宋_GB2312"/>
          <w:sz w:val="32"/>
          <w:szCs w:val="32"/>
        </w:rPr>
        <w:t>为提升学术伦理治理能力，</w:t>
      </w:r>
      <w:r>
        <w:rPr>
          <w:rFonts w:hint="eastAsia" w:ascii="仿宋_GB2312" w:hAnsi="仿宋_GB2312" w:eastAsia="仿宋_GB2312" w:cs="仿宋_GB2312"/>
          <w:sz w:val="32"/>
          <w:szCs w:val="32"/>
        </w:rPr>
        <w:t>规范科学研究伦理审查工作</w:t>
      </w:r>
      <w:r>
        <w:rPr>
          <w:rFonts w:ascii="仿宋_GB2312" w:hAnsi="仿宋_GB2312" w:eastAsia="仿宋_GB2312" w:cs="仿宋_GB2312"/>
          <w:sz w:val="32"/>
          <w:szCs w:val="32"/>
        </w:rPr>
        <w:t>，有效防控学术伦理风险，</w:t>
      </w:r>
      <w:r>
        <w:rPr>
          <w:rFonts w:hint="eastAsia" w:ascii="仿宋_GB2312" w:hAnsi="仿宋_GB2312" w:eastAsia="仿宋_GB2312" w:cs="仿宋_GB2312"/>
          <w:sz w:val="32"/>
          <w:szCs w:val="32"/>
        </w:rPr>
        <w:t>促进学校事业高质量发展，根据《科技伦理审查办法（试行）》（国科发监〔2023〕167号）、</w:t>
      </w:r>
      <w:r>
        <w:rPr>
          <w:rFonts w:hint="eastAsia" w:ascii="仿宋_GB2312" w:hAnsi="仿宋_GB2312" w:eastAsia="仿宋_GB2312" w:cs="仿宋_GB2312"/>
          <w:sz w:val="32"/>
          <w:szCs w:val="32"/>
          <w:shd w:val="clear" w:color="auto" w:fill="FFFFFF"/>
        </w:rPr>
        <w:t>《温州理工学院学术委员会章程》等文件精神，</w:t>
      </w:r>
      <w:r>
        <w:rPr>
          <w:rFonts w:hint="eastAsia" w:ascii="仿宋_GB2312" w:hAnsi="仿宋_GB2312" w:eastAsia="仿宋_GB2312" w:cs="仿宋_GB2312"/>
          <w:sz w:val="32"/>
          <w:szCs w:val="32"/>
        </w:rPr>
        <w:t>结合我校实际，制定本章程。</w:t>
      </w:r>
    </w:p>
    <w:p w14:paraId="08A64967">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第二条  </w:t>
      </w:r>
      <w:r>
        <w:rPr>
          <w:rFonts w:hint="eastAsia" w:ascii="仿宋_GB2312" w:hAnsi="仿宋_GB2312" w:eastAsia="仿宋_GB2312" w:cs="仿宋_GB2312"/>
          <w:sz w:val="32"/>
          <w:szCs w:val="32"/>
        </w:rPr>
        <w:t>学术</w:t>
      </w:r>
      <w:r>
        <w:rPr>
          <w:rFonts w:ascii="仿宋_GB2312" w:hAnsi="仿宋_GB2312" w:eastAsia="仿宋_GB2312" w:cs="仿宋_GB2312"/>
          <w:sz w:val="32"/>
          <w:szCs w:val="32"/>
        </w:rPr>
        <w:t>伦理委员会是校学术委员会下设的专门委员会，是学校</w:t>
      </w:r>
      <w:r>
        <w:rPr>
          <w:rFonts w:hint="eastAsia" w:ascii="仿宋_GB2312" w:hAnsi="仿宋_GB2312" w:eastAsia="仿宋_GB2312" w:cs="仿宋_GB2312"/>
          <w:sz w:val="32"/>
          <w:szCs w:val="32"/>
        </w:rPr>
        <w:t>统筹规范和指导协调学校学术伦理治理的学术审议机构。</w:t>
      </w:r>
      <w:r>
        <w:rPr>
          <w:rFonts w:ascii="仿宋_GB2312" w:hAnsi="仿宋_GB2312" w:eastAsia="仿宋_GB2312" w:cs="仿宋_GB2312"/>
          <w:sz w:val="32"/>
          <w:szCs w:val="32"/>
        </w:rPr>
        <w:t>根据校学术委员会授权，负责学校科研伦理相关学术事务的决策、审议、评定和咨询</w:t>
      </w:r>
      <w:r>
        <w:rPr>
          <w:rFonts w:hint="eastAsia" w:ascii="仿宋_GB2312" w:hAnsi="仿宋_GB2312" w:eastAsia="仿宋_GB2312" w:cs="仿宋_GB2312"/>
          <w:sz w:val="32"/>
          <w:szCs w:val="32"/>
        </w:rPr>
        <w:t>。</w:t>
      </w:r>
    </w:p>
    <w:p w14:paraId="63D8F268">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第三条  </w:t>
      </w:r>
      <w:r>
        <w:rPr>
          <w:rFonts w:hint="eastAsia" w:ascii="仿宋_GB2312" w:hAnsi="仿宋_GB2312" w:eastAsia="仿宋_GB2312" w:cs="仿宋_GB2312"/>
          <w:sz w:val="32"/>
          <w:szCs w:val="32"/>
        </w:rPr>
        <w:t>学术伦理委员会根据相关法律法规、校学术委员会的授权及本章程开展工作，向校学术委员会报告工作，接受校学术委员会的指导和监督。</w:t>
      </w:r>
    </w:p>
    <w:p w14:paraId="67E68217">
      <w:pPr>
        <w:spacing w:line="600" w:lineRule="exact"/>
        <w:jc w:val="center"/>
        <w:rPr>
          <w:rFonts w:ascii="黑体" w:hAnsi="黑体" w:eastAsia="黑体" w:cs="黑体"/>
          <w:sz w:val="32"/>
          <w:szCs w:val="32"/>
        </w:rPr>
      </w:pPr>
      <w:r>
        <w:rPr>
          <w:rFonts w:hint="eastAsia" w:ascii="黑体" w:hAnsi="黑体" w:eastAsia="黑体" w:cs="黑体"/>
          <w:sz w:val="32"/>
          <w:szCs w:val="32"/>
        </w:rPr>
        <w:t>第二章 组织机构</w:t>
      </w:r>
    </w:p>
    <w:p w14:paraId="66E1648E">
      <w:pPr>
        <w:spacing w:line="600" w:lineRule="exact"/>
        <w:ind w:firstLine="643"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学术伦理委员会人数原则上为</w:t>
      </w:r>
      <w:r>
        <w:rPr>
          <w:rFonts w:hint="eastAsia" w:ascii="仿宋_GB2312" w:hAnsi="仿宋_GB2312" w:eastAsia="仿宋_GB2312" w:cs="仿宋_GB2312"/>
          <w:bCs/>
          <w:sz w:val="32"/>
          <w:szCs w:val="32"/>
          <w:shd w:val="clear" w:color="auto" w:fill="FFFFFF"/>
        </w:rPr>
        <w:t>不少于</w:t>
      </w:r>
      <w:r>
        <w:rPr>
          <w:rFonts w:ascii="仿宋_GB2312" w:hAnsi="仿宋_GB2312" w:eastAsia="仿宋_GB2312" w:cs="仿宋_GB2312"/>
          <w:bCs/>
          <w:sz w:val="32"/>
          <w:szCs w:val="32"/>
          <w:shd w:val="clear" w:color="auto" w:fill="FFFFFF"/>
        </w:rPr>
        <w:t>9</w:t>
      </w:r>
      <w:r>
        <w:rPr>
          <w:rFonts w:hint="eastAsia" w:ascii="仿宋_GB2312" w:hAnsi="仿宋_GB2312" w:eastAsia="仿宋_GB2312" w:cs="仿宋_GB2312"/>
          <w:bCs/>
          <w:sz w:val="32"/>
          <w:szCs w:val="32"/>
          <w:shd w:val="clear" w:color="auto" w:fill="FFFFFF"/>
        </w:rPr>
        <w:t>人的单数，其中设主任委员1人、副主任委员1人。</w:t>
      </w:r>
      <w:r>
        <w:rPr>
          <w:rFonts w:hint="eastAsia" w:ascii="仿宋_GB2312" w:hAnsi="仿宋_GB2312" w:eastAsia="仿宋_GB2312" w:cs="仿宋_GB2312"/>
          <w:sz w:val="32"/>
          <w:szCs w:val="32"/>
        </w:rPr>
        <w:t>主任委员由分管学科科研工作的校领导担任，</w:t>
      </w:r>
      <w:r>
        <w:rPr>
          <w:rFonts w:ascii="仿宋_GB2312" w:hAnsi="仿宋_GB2312" w:eastAsia="仿宋_GB2312" w:cs="仿宋_GB2312"/>
          <w:bCs/>
          <w:sz w:val="32"/>
          <w:szCs w:val="32"/>
          <w:shd w:val="clear" w:color="auto" w:fill="FFFFFF"/>
        </w:rPr>
        <w:t>副主任委员由</w:t>
      </w:r>
      <w:r>
        <w:rPr>
          <w:rFonts w:hint="eastAsia" w:ascii="仿宋_GB2312" w:hAnsi="仿宋_GB2312" w:eastAsia="仿宋_GB2312" w:cs="仿宋_GB2312"/>
          <w:bCs/>
          <w:sz w:val="32"/>
          <w:szCs w:val="32"/>
          <w:shd w:val="clear" w:color="auto" w:fill="FFFFFF"/>
        </w:rPr>
        <w:t>科研</w:t>
      </w:r>
      <w:r>
        <w:rPr>
          <w:rFonts w:ascii="仿宋_GB2312" w:hAnsi="仿宋_GB2312" w:eastAsia="仿宋_GB2312" w:cs="仿宋_GB2312"/>
          <w:bCs/>
          <w:sz w:val="32"/>
          <w:szCs w:val="32"/>
          <w:shd w:val="clear" w:color="auto" w:fill="FFFFFF"/>
        </w:rPr>
        <w:t>处</w:t>
      </w:r>
      <w:r>
        <w:rPr>
          <w:rFonts w:hint="eastAsia" w:ascii="仿宋_GB2312" w:hAnsi="仿宋_GB2312" w:eastAsia="仿宋_GB2312" w:cs="仿宋_GB2312"/>
          <w:bCs/>
          <w:sz w:val="32"/>
          <w:szCs w:val="32"/>
          <w:shd w:val="clear" w:color="auto" w:fill="FFFFFF"/>
        </w:rPr>
        <w:t>（学科建设与研究生管理办公室）</w:t>
      </w:r>
      <w:r>
        <w:rPr>
          <w:rFonts w:ascii="仿宋_GB2312" w:hAnsi="仿宋_GB2312" w:eastAsia="仿宋_GB2312" w:cs="仿宋_GB2312"/>
          <w:bCs/>
          <w:sz w:val="32"/>
          <w:szCs w:val="32"/>
          <w:shd w:val="clear" w:color="auto" w:fill="FFFFFF"/>
        </w:rPr>
        <w:t>负责人担任</w:t>
      </w:r>
      <w:r>
        <w:rPr>
          <w:rFonts w:hint="eastAsia" w:ascii="仿宋_GB2312" w:hAnsi="仿宋_GB2312" w:eastAsia="仿宋_GB2312" w:cs="仿宋_GB2312"/>
          <w:bCs/>
          <w:sz w:val="32"/>
          <w:szCs w:val="32"/>
          <w:shd w:val="clear" w:color="auto" w:fill="FFFFFF"/>
        </w:rPr>
        <w:t>。</w:t>
      </w:r>
    </w:p>
    <w:p w14:paraId="52FEC345">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委员分为职务委员和专家委员两类：职务委员由分管校领导及学校相关职能部门负责人担任；专家委员由具有伦理、心理、法律等相应专业背景的专家学者担任。</w:t>
      </w:r>
    </w:p>
    <w:p w14:paraId="151C9C55">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全体委员由校学术委员会主任委员提名，经校学术委员会审议通过后正式聘任。</w:t>
      </w:r>
    </w:p>
    <w:p w14:paraId="3A7C1BC9">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学术伦理委员会委员任期与校学术委员会委员相同，每届任期四年，连任原则上不超过两届。</w:t>
      </w:r>
    </w:p>
    <w:p w14:paraId="0F79A2A4">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学术伦理委员会下设秘书处，负责处理本委员会的日常事务工作，秘书处挂靠</w:t>
      </w:r>
      <w:r>
        <w:rPr>
          <w:rFonts w:hint="eastAsia" w:ascii="仿宋_GB2312" w:hAnsi="仿宋_GB2312" w:eastAsia="仿宋_GB2312" w:cs="仿宋_GB2312"/>
          <w:bCs/>
          <w:sz w:val="32"/>
          <w:szCs w:val="32"/>
          <w:shd w:val="clear" w:color="auto" w:fill="FFFFFF"/>
        </w:rPr>
        <w:t>科研</w:t>
      </w:r>
      <w:r>
        <w:rPr>
          <w:rFonts w:ascii="仿宋_GB2312" w:hAnsi="仿宋_GB2312" w:eastAsia="仿宋_GB2312" w:cs="仿宋_GB2312"/>
          <w:bCs/>
          <w:sz w:val="32"/>
          <w:szCs w:val="32"/>
          <w:shd w:val="clear" w:color="auto" w:fill="FFFFFF"/>
        </w:rPr>
        <w:t>处</w:t>
      </w:r>
      <w:r>
        <w:rPr>
          <w:rFonts w:hint="eastAsia" w:ascii="仿宋_GB2312" w:hAnsi="仿宋_GB2312" w:eastAsia="仿宋_GB2312" w:cs="仿宋_GB2312"/>
          <w:bCs/>
          <w:sz w:val="32"/>
          <w:szCs w:val="32"/>
          <w:shd w:val="clear" w:color="auto" w:fill="FFFFFF"/>
        </w:rPr>
        <w:t>（学科建设与研究生管理办公室）</w:t>
      </w:r>
      <w:r>
        <w:rPr>
          <w:rFonts w:hint="eastAsia" w:ascii="仿宋_GB2312" w:hAnsi="仿宋_GB2312" w:eastAsia="仿宋_GB2312" w:cs="仿宋_GB2312"/>
          <w:sz w:val="32"/>
          <w:szCs w:val="32"/>
        </w:rPr>
        <w:t>。</w:t>
      </w:r>
    </w:p>
    <w:p w14:paraId="23750CBE">
      <w:pPr>
        <w:spacing w:line="600" w:lineRule="exact"/>
        <w:ind w:firstLine="643"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Cs/>
          <w:sz w:val="32"/>
          <w:szCs w:val="32"/>
          <w:shd w:val="clear" w:color="auto" w:fill="FFFFFF"/>
        </w:rPr>
        <w:t>学术伦理委员会委员在任期内有下列情形之一的，经校学术委员会讨论决定，可免除或者同意其辞去委员职务：</w:t>
      </w:r>
    </w:p>
    <w:p w14:paraId="05AC5BA5">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（一）主动申请辞去委员职务的；</w:t>
      </w:r>
    </w:p>
    <w:p w14:paraId="5B7E6BE8">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（二）因身体、年龄及职务变动等原因无法履行职责的；</w:t>
      </w:r>
    </w:p>
    <w:p w14:paraId="259F5257">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（三）怠于履行职责或者不履行委员义务的；</w:t>
      </w:r>
    </w:p>
    <w:p w14:paraId="4EA1C9C5">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（四）有违法违纪、违反职业道德或学术不端行为的；</w:t>
      </w:r>
    </w:p>
    <w:p w14:paraId="75AFB066">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（五）因其他原因无法或不宜担任委员职务。</w:t>
      </w:r>
    </w:p>
    <w:p w14:paraId="39334C57">
      <w:pPr>
        <w:spacing w:line="600" w:lineRule="exact"/>
        <w:ind w:firstLine="643"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Cs/>
          <w:sz w:val="32"/>
          <w:szCs w:val="32"/>
          <w:shd w:val="clear" w:color="auto" w:fill="FFFFFF"/>
        </w:rPr>
        <w:t>因上述原因出现的专家委员缺额如需增补，由学术伦理委员会主任委员根据退出委员所在学科特点推荐，报校学术委员会审议通过。职务委员如因工作岗位调整发生变动，其委员资格自动终止，并由接任该岗位的人员自然递补继任。</w:t>
      </w:r>
    </w:p>
    <w:p w14:paraId="6513EEB6">
      <w:pPr>
        <w:spacing w:line="60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第三章 职责权限</w:t>
      </w:r>
    </w:p>
    <w:p w14:paraId="46B7F83A">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学术伦理委员会主要工作职责：</w:t>
      </w:r>
    </w:p>
    <w:p w14:paraId="2F453999">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（一）</w:t>
      </w:r>
      <w:r>
        <w:rPr>
          <w:rFonts w:ascii="仿宋_GB2312" w:hAnsi="仿宋_GB2312" w:eastAsia="仿宋_GB2312" w:cs="仿宋_GB2312"/>
          <w:bCs/>
          <w:sz w:val="32"/>
          <w:szCs w:val="32"/>
          <w:shd w:val="clear" w:color="auto" w:fill="FFFFFF"/>
        </w:rPr>
        <w:t>组织制定学校学术伦理方面的规章制度，并为学术伦理建设提出咨询意见；</w:t>
      </w:r>
    </w:p>
    <w:p w14:paraId="092BCDEA">
      <w:pPr>
        <w:spacing w:line="600" w:lineRule="exact"/>
        <w:ind w:firstLine="640" w:firstLineChars="200"/>
        <w:rPr>
          <w:rFonts w:ascii="仿宋_GB2312" w:hAnsi="仿宋_GB2312" w:eastAsia="仿宋_GB2312" w:cs="仿宋_GB2312"/>
          <w:bCs/>
          <w:sz w:val="32"/>
          <w:szCs w:val="32"/>
          <w:shd w:val="clear" w:color="auto" w:fill="FFFFFF"/>
        </w:rPr>
      </w:pPr>
      <w:r>
        <w:rPr>
          <w:rFonts w:ascii="仿宋_GB2312" w:hAnsi="仿宋_GB2312" w:eastAsia="仿宋_GB2312" w:cs="仿宋_GB2312"/>
          <w:bCs/>
          <w:sz w:val="32"/>
          <w:szCs w:val="32"/>
          <w:shd w:val="clear" w:color="auto" w:fill="FFFFFF"/>
        </w:rPr>
        <w:t>（二）提供</w:t>
      </w:r>
      <w:r>
        <w:rPr>
          <w:rFonts w:hint="eastAsia" w:ascii="仿宋_GB2312" w:hAnsi="仿宋_GB2312" w:eastAsia="仿宋_GB2312" w:cs="仿宋_GB2312"/>
          <w:bCs/>
          <w:sz w:val="32"/>
          <w:szCs w:val="32"/>
          <w:shd w:val="clear" w:color="auto" w:fill="FFFFFF"/>
        </w:rPr>
        <w:t>学术</w:t>
      </w:r>
      <w:r>
        <w:rPr>
          <w:rFonts w:ascii="仿宋_GB2312" w:hAnsi="仿宋_GB2312" w:eastAsia="仿宋_GB2312" w:cs="仿宋_GB2312"/>
          <w:bCs/>
          <w:sz w:val="32"/>
          <w:szCs w:val="32"/>
          <w:shd w:val="clear" w:color="auto" w:fill="FFFFFF"/>
        </w:rPr>
        <w:t>伦理咨询，指导科研人员开展</w:t>
      </w:r>
      <w:r>
        <w:rPr>
          <w:rFonts w:hint="eastAsia" w:ascii="仿宋_GB2312" w:hAnsi="仿宋_GB2312" w:eastAsia="仿宋_GB2312" w:cs="仿宋_GB2312"/>
          <w:bCs/>
          <w:sz w:val="32"/>
          <w:szCs w:val="32"/>
          <w:shd w:val="clear" w:color="auto" w:fill="FFFFFF"/>
        </w:rPr>
        <w:t>学术</w:t>
      </w:r>
      <w:r>
        <w:rPr>
          <w:rFonts w:ascii="仿宋_GB2312" w:hAnsi="仿宋_GB2312" w:eastAsia="仿宋_GB2312" w:cs="仿宋_GB2312"/>
          <w:bCs/>
          <w:sz w:val="32"/>
          <w:szCs w:val="32"/>
          <w:shd w:val="clear" w:color="auto" w:fill="FFFFFF"/>
        </w:rPr>
        <w:t>伦理风险评估；</w:t>
      </w:r>
    </w:p>
    <w:p w14:paraId="59614863">
      <w:pPr>
        <w:spacing w:line="600" w:lineRule="exact"/>
        <w:ind w:firstLine="640" w:firstLineChars="200"/>
        <w:rPr>
          <w:rFonts w:ascii="仿宋_GB2312" w:hAnsi="仿宋_GB2312" w:eastAsia="仿宋_GB2312" w:cs="仿宋_GB2312"/>
          <w:bCs/>
          <w:sz w:val="32"/>
          <w:szCs w:val="32"/>
          <w:shd w:val="clear" w:color="auto" w:fill="FFFFFF"/>
        </w:rPr>
      </w:pPr>
      <w:r>
        <w:rPr>
          <w:rFonts w:ascii="仿宋_GB2312" w:hAnsi="仿宋_GB2312" w:eastAsia="仿宋_GB2312" w:cs="仿宋_GB2312"/>
          <w:bCs/>
          <w:sz w:val="32"/>
          <w:szCs w:val="32"/>
          <w:shd w:val="clear" w:color="auto" w:fill="FFFFFF"/>
        </w:rPr>
        <w:t>（</w:t>
      </w:r>
      <w:r>
        <w:rPr>
          <w:rFonts w:hint="eastAsia" w:ascii="仿宋_GB2312" w:hAnsi="仿宋_GB2312" w:eastAsia="仿宋_GB2312" w:cs="仿宋_GB2312"/>
          <w:bCs/>
          <w:sz w:val="32"/>
          <w:szCs w:val="32"/>
          <w:shd w:val="clear" w:color="auto" w:fill="FFFFFF"/>
        </w:rPr>
        <w:t>三</w:t>
      </w:r>
      <w:r>
        <w:rPr>
          <w:rFonts w:ascii="仿宋_GB2312" w:hAnsi="仿宋_GB2312" w:eastAsia="仿宋_GB2312" w:cs="仿宋_GB2312"/>
          <w:bCs/>
          <w:sz w:val="32"/>
          <w:szCs w:val="32"/>
          <w:shd w:val="clear" w:color="auto" w:fill="FFFFFF"/>
        </w:rPr>
        <w:t>）开展</w:t>
      </w:r>
      <w:r>
        <w:rPr>
          <w:rFonts w:hint="eastAsia" w:ascii="仿宋_GB2312" w:hAnsi="仿宋_GB2312" w:eastAsia="仿宋_GB2312" w:cs="仿宋_GB2312"/>
          <w:bCs/>
          <w:sz w:val="32"/>
          <w:szCs w:val="32"/>
          <w:shd w:val="clear" w:color="auto" w:fill="FFFFFF"/>
        </w:rPr>
        <w:t>学术</w:t>
      </w:r>
      <w:r>
        <w:rPr>
          <w:rFonts w:ascii="仿宋_GB2312" w:hAnsi="仿宋_GB2312" w:eastAsia="仿宋_GB2312" w:cs="仿宋_GB2312"/>
          <w:bCs/>
          <w:sz w:val="32"/>
          <w:szCs w:val="32"/>
          <w:shd w:val="clear" w:color="auto" w:fill="FFFFFF"/>
        </w:rPr>
        <w:t>伦理审查，对涉及学术伦理的研究项目</w:t>
      </w:r>
      <w:r>
        <w:rPr>
          <w:rFonts w:hint="eastAsia" w:ascii="仿宋_GB2312" w:hAnsi="仿宋_GB2312" w:eastAsia="仿宋_GB2312" w:cs="仿宋_GB2312"/>
          <w:bCs/>
          <w:sz w:val="32"/>
          <w:szCs w:val="32"/>
          <w:shd w:val="clear" w:color="auto" w:fill="FFFFFF"/>
        </w:rPr>
        <w:t>、研究论文，</w:t>
      </w:r>
      <w:r>
        <w:rPr>
          <w:rFonts w:ascii="仿宋_GB2312" w:hAnsi="仿宋_GB2312" w:eastAsia="仿宋_GB2312" w:cs="仿宋_GB2312"/>
          <w:bCs/>
          <w:sz w:val="32"/>
          <w:szCs w:val="32"/>
          <w:shd w:val="clear" w:color="auto" w:fill="FFFFFF"/>
        </w:rPr>
        <w:t>进行评价、论证、审查并提出指导性意见；</w:t>
      </w:r>
    </w:p>
    <w:p w14:paraId="0CD5222B">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（四）受理各种学术伦理方面的投诉和学术纠纷，并组织调查，形成处理意见；</w:t>
      </w:r>
    </w:p>
    <w:p w14:paraId="78920864">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（五）组织开展学术伦理审查人员的业务培训以及科研人员的学术伦理知识培训；</w:t>
      </w:r>
    </w:p>
    <w:p w14:paraId="611FE9C4">
      <w:pPr>
        <w:spacing w:line="600" w:lineRule="exact"/>
        <w:ind w:firstLine="640" w:firstLineChars="200"/>
        <w:rPr>
          <w:rFonts w:ascii="仿宋_GB2312" w:hAnsi="仿宋_GB2312" w:eastAsia="仿宋_GB2312" w:cs="仿宋_GB2312"/>
          <w:bCs/>
          <w:sz w:val="32"/>
          <w:szCs w:val="32"/>
          <w:shd w:val="clear" w:color="auto" w:fill="FFFFFF"/>
        </w:rPr>
      </w:pPr>
      <w:r>
        <w:rPr>
          <w:rFonts w:ascii="仿宋_GB2312" w:hAnsi="仿宋_GB2312" w:eastAsia="仿宋_GB2312" w:cs="仿宋_GB2312"/>
          <w:bCs/>
          <w:sz w:val="32"/>
          <w:szCs w:val="32"/>
          <w:shd w:val="clear" w:color="auto" w:fill="FFFFFF"/>
        </w:rPr>
        <w:t>（</w:t>
      </w:r>
      <w:r>
        <w:rPr>
          <w:rFonts w:hint="eastAsia" w:ascii="仿宋_GB2312" w:hAnsi="仿宋_GB2312" w:eastAsia="仿宋_GB2312" w:cs="仿宋_GB2312"/>
          <w:bCs/>
          <w:sz w:val="32"/>
          <w:szCs w:val="32"/>
          <w:shd w:val="clear" w:color="auto" w:fill="FFFFFF"/>
        </w:rPr>
        <w:t>六</w:t>
      </w:r>
      <w:r>
        <w:rPr>
          <w:rFonts w:ascii="仿宋_GB2312" w:hAnsi="仿宋_GB2312" w:eastAsia="仿宋_GB2312" w:cs="仿宋_GB2312"/>
          <w:bCs/>
          <w:sz w:val="32"/>
          <w:szCs w:val="32"/>
          <w:shd w:val="clear" w:color="auto" w:fill="FFFFFF"/>
        </w:rPr>
        <w:t>）配合地方、相关行业主管部门开展</w:t>
      </w:r>
      <w:r>
        <w:rPr>
          <w:rFonts w:hint="eastAsia" w:ascii="仿宋_GB2312" w:hAnsi="仿宋_GB2312" w:eastAsia="仿宋_GB2312" w:cs="仿宋_GB2312"/>
          <w:bCs/>
          <w:sz w:val="32"/>
          <w:szCs w:val="32"/>
          <w:shd w:val="clear" w:color="auto" w:fill="FFFFFF"/>
        </w:rPr>
        <w:t>学术</w:t>
      </w:r>
      <w:r>
        <w:rPr>
          <w:rFonts w:ascii="仿宋_GB2312" w:hAnsi="仿宋_GB2312" w:eastAsia="仿宋_GB2312" w:cs="仿宋_GB2312"/>
          <w:bCs/>
          <w:sz w:val="32"/>
          <w:szCs w:val="32"/>
          <w:shd w:val="clear" w:color="auto" w:fill="FFFFFF"/>
        </w:rPr>
        <w:t>伦理审查的相关工作</w:t>
      </w:r>
      <w:r>
        <w:rPr>
          <w:rFonts w:hint="eastAsia" w:ascii="仿宋_GB2312" w:hAnsi="仿宋_GB2312" w:eastAsia="仿宋_GB2312" w:cs="仿宋_GB2312"/>
          <w:bCs/>
          <w:sz w:val="32"/>
          <w:szCs w:val="32"/>
          <w:shd w:val="clear" w:color="auto" w:fill="FFFFFF"/>
        </w:rPr>
        <w:t>；</w:t>
      </w:r>
    </w:p>
    <w:p w14:paraId="63012865">
      <w:pPr>
        <w:spacing w:line="600" w:lineRule="exact"/>
        <w:ind w:firstLine="640" w:firstLineChars="200"/>
        <w:rPr>
          <w:rFonts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（七）完成校学术委员会委托的其他与学术伦理相关的工作。</w:t>
      </w:r>
    </w:p>
    <w:p w14:paraId="6BBBA688">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shd w:val="clear" w:color="auto" w:fill="FFFFFF"/>
        </w:rPr>
        <w:t xml:space="preserve">第十条  </w:t>
      </w:r>
      <w:r>
        <w:rPr>
          <w:rFonts w:hint="eastAsia" w:ascii="仿宋_GB2312" w:hAnsi="仿宋_GB2312" w:eastAsia="仿宋_GB2312" w:cs="仿宋_GB2312"/>
          <w:sz w:val="32"/>
          <w:szCs w:val="32"/>
        </w:rPr>
        <w:t>学术伦理委员会委员享有以下权利：</w:t>
      </w:r>
    </w:p>
    <w:p w14:paraId="456A9F8F">
      <w:pPr>
        <w:spacing w:line="600" w:lineRule="exact"/>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（一） 知悉与学校学术伦理相关的各项管理制度、信息等；</w:t>
      </w:r>
    </w:p>
    <w:p w14:paraId="780256B1">
      <w:pPr>
        <w:spacing w:line="600" w:lineRule="exact"/>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（二）在学术伦理委员会会议中自由、独立地发表意见，讨论、审议和表决各项决议；</w:t>
      </w:r>
    </w:p>
    <w:p w14:paraId="7C0FEAA0">
      <w:pPr>
        <w:spacing w:line="600" w:lineRule="exact"/>
        <w:ind w:firstLine="420"/>
        <w:rPr>
          <w:rFonts w:ascii="仿宋_GB2312" w:hAnsi="仿宋_GB2312" w:eastAsia="仿宋_GB2312" w:cs="仿宋_GB2312"/>
          <w:sz w:val="32"/>
          <w:szCs w:val="32"/>
        </w:rPr>
      </w:pPr>
      <w:r>
        <w:rPr>
          <w:rFonts w:hint="eastAsia" w:ascii="仿宋_GB2312" w:hAnsi="仿宋_GB2312" w:eastAsia="仿宋_GB2312" w:cs="仿宋_GB2312"/>
          <w:sz w:val="32"/>
          <w:szCs w:val="32"/>
        </w:rPr>
        <w:t>（三）对学术伦理相关工作提出意见建议，并实施监督。</w:t>
      </w:r>
    </w:p>
    <w:p w14:paraId="04C4FBFB">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shd w:val="clear" w:color="auto" w:fill="FFFFFF"/>
        </w:rPr>
        <w:t xml:space="preserve">第十一条  </w:t>
      </w:r>
      <w:r>
        <w:rPr>
          <w:rFonts w:hint="eastAsia" w:ascii="仿宋_GB2312" w:hAnsi="仿宋_GB2312" w:eastAsia="仿宋_GB2312" w:cs="仿宋_GB2312"/>
          <w:sz w:val="32"/>
          <w:szCs w:val="32"/>
        </w:rPr>
        <w:t>学术伦理委员会委员须履行以下义务：</w:t>
      </w:r>
    </w:p>
    <w:p w14:paraId="0490F6F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（一）遵守国家宪法、法律、法规及学术伦理相关制度规范；</w:t>
      </w:r>
    </w:p>
    <w:p w14:paraId="24B62B1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（二）遵守学术伦理委员会章程，坚守学术专业判断，公正履行职责；</w:t>
      </w:r>
    </w:p>
    <w:p w14:paraId="0DE7415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（三）主动学习学术伦理相关法律法规与校内制度，积极参加履职培训；</w:t>
      </w:r>
    </w:p>
    <w:p w14:paraId="5D16C19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（四）勤勉尽职，按时参加学术伦理委员会会议。</w:t>
      </w:r>
    </w:p>
    <w:p w14:paraId="082FCC3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（五）严格遵守保密规定和回避制度。</w:t>
      </w:r>
    </w:p>
    <w:p w14:paraId="1072082E">
      <w:pPr>
        <w:spacing w:line="60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第四章 议事规则</w:t>
      </w:r>
    </w:p>
    <w:p w14:paraId="6237A86C">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学术伦理委员会实行例会制，每年至少举行1次全体委员会议。全体会议有2/3及以上的委员出席方可举行，应由主任委员主持，若主任委员因故不能出席会议的，由主任委员委托的副主任委员主持。</w:t>
      </w:r>
    </w:p>
    <w:p w14:paraId="5DC2C54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讨论或决定重大事宜时，主任委员可临时召集全体会议；也可根据工作需要，不定期举行主任委员会议或部分委员参加的专题会议。</w:t>
      </w:r>
    </w:p>
    <w:p w14:paraId="4A73AA8B">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学术伦理委员会全体会议审议或者评定的事项，由出席会议委员人数的2/3及以上通过方为有效。</w:t>
      </w:r>
    </w:p>
    <w:p w14:paraId="2AE36A19">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学术伦理委员会实行回避制度，审议或评定的事项与委员本人或其配偶或直系亲属有关，或具有利益关联的，相关委员应当回避。</w:t>
      </w:r>
    </w:p>
    <w:p w14:paraId="32361E8E">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xml:space="preserve">  学术伦理委员会委员在议决过程中应公正、公平发表意见和进行表决。对有关讨论或议决内容在正式公布之前负有保密义务。对于故意泄露有关讨论或议决内容的行为，学校按有关规定追究责任。</w:t>
      </w:r>
    </w:p>
    <w:p w14:paraId="485A619A">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对学术伦理事项，学术伦理委员会作出审查决定后，由秘书处将审查结论以书面形式告知申请人。</w:t>
      </w:r>
    </w:p>
    <w:p w14:paraId="2254192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申请人对审查结论有异议的，可</w:t>
      </w:r>
      <w:r>
        <w:rPr>
          <w:rFonts w:ascii="仿宋_GB2312" w:hAnsi="仿宋_GB2312" w:eastAsia="仿宋_GB2312" w:cs="仿宋_GB2312"/>
          <w:sz w:val="32"/>
          <w:szCs w:val="32"/>
        </w:rPr>
        <w:t>以在收到审查结论之日起</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0日内以书面形式向学术伦理委员会提出异议或复核申请。学术伦理委员会收到异议或复核申请后，决定受理的，另行组织审查或者委托第三方机构进行审查。申请</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t>对复核结果有异议，但仍以同一事实和理由提出异议或申请复核的，不予</w:t>
      </w:r>
      <w:r>
        <w:rPr>
          <w:rFonts w:hint="eastAsia" w:ascii="仿宋_GB2312" w:hAnsi="仿宋_GB2312" w:eastAsia="仿宋_GB2312" w:cs="仿宋_GB2312"/>
          <w:sz w:val="32"/>
          <w:szCs w:val="32"/>
        </w:rPr>
        <w:t>受理。</w:t>
      </w:r>
    </w:p>
    <w:p w14:paraId="2882195B">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第十七条</w:t>
      </w:r>
      <w:r>
        <w:rPr>
          <w:rFonts w:hint="eastAsia" w:ascii="仿宋_GB2312" w:hAnsi="仿宋_GB2312" w:eastAsia="仿宋_GB2312" w:cs="仿宋_GB2312"/>
          <w:sz w:val="32"/>
          <w:szCs w:val="32"/>
        </w:rPr>
        <w:t xml:space="preserve">  学术伦理委员会按“一事一档”原则，对调查报告和决议备案材料进行归档。</w:t>
      </w:r>
    </w:p>
    <w:p w14:paraId="76D32C7B">
      <w:pPr>
        <w:spacing w:line="60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第五章 附 则</w:t>
      </w:r>
    </w:p>
    <w:p w14:paraId="44BAE4B0">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本章程经校学术委员会审议通过后生效。</w:t>
      </w:r>
    </w:p>
    <w:p w14:paraId="64B9E423">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xml:space="preserve">  本章程由学术伦理委员会负责解释。</w:t>
      </w:r>
    </w:p>
    <w:p w14:paraId="6C7A5C37">
      <w:pPr>
        <w:spacing w:line="6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第二十条 </w:t>
      </w:r>
      <w:r>
        <w:rPr>
          <w:rFonts w:hint="eastAsia" w:ascii="仿宋_GB2312" w:hAnsi="仿宋_GB2312" w:eastAsia="仿宋_GB2312" w:cs="仿宋_GB2312"/>
          <w:sz w:val="32"/>
          <w:szCs w:val="32"/>
        </w:rPr>
        <w:t xml:space="preserve"> 本章程自发布之日起施行。</w:t>
      </w:r>
    </w:p>
    <w:p w14:paraId="57F0F2CC">
      <w:pPr>
        <w:spacing w:line="600" w:lineRule="exact"/>
        <w:ind w:firstLine="640" w:firstLineChars="200"/>
        <w:rPr>
          <w:rFonts w:hint="eastAsia" w:ascii="仿宋_GB2312" w:hAnsi="仿宋_GB2312" w:eastAsia="仿宋_GB2312" w:cs="仿宋_GB2312"/>
          <w:sz w:val="32"/>
          <w:szCs w:val="32"/>
        </w:rPr>
      </w:pPr>
    </w:p>
    <w:p w14:paraId="05543CE0">
      <w:pPr>
        <w:rPr>
          <w:rFonts w:hint="eastAsia" w:ascii="仿宋_GB2312" w:hAnsi="仿宋_GB2312" w:eastAsia="仿宋_GB2312" w:cs="仿宋_GB2312"/>
          <w:sz w:val="32"/>
          <w:szCs w:val="32"/>
        </w:rPr>
      </w:pPr>
    </w:p>
    <w:p w14:paraId="7D56866F">
      <w:pPr>
        <w:rPr>
          <w:rFonts w:hint="eastAsia" w:ascii="仿宋_GB2312" w:hAnsi="仿宋_GB2312" w:eastAsia="仿宋_GB2312" w:cs="仿宋_GB2312"/>
          <w:snapToGrid/>
          <w:sz w:val="32"/>
          <w:szCs w:val="32"/>
        </w:rPr>
      </w:pPr>
    </w:p>
    <w:p w14:paraId="74D6ACF1">
      <w:pPr>
        <w:rPr>
          <w:rFonts w:hint="eastAsia" w:ascii="仿宋_GB2312" w:hAnsi="仿宋_GB2312" w:eastAsia="仿宋_GB2312" w:cs="仿宋_GB2312"/>
          <w:snapToGrid/>
          <w:sz w:val="32"/>
          <w:szCs w:val="32"/>
        </w:rPr>
      </w:pPr>
    </w:p>
    <w:tbl>
      <w:tblPr>
        <w:tblStyle w:val="28"/>
        <w:tblpPr w:leftFromText="180" w:rightFromText="180" w:vertAnchor="text" w:horzAnchor="page" w:tblpX="1551" w:tblpY="2291"/>
        <w:tblOverlap w:val="never"/>
        <w:tblW w:w="0" w:type="auto"/>
        <w:tblCaption w:val="Table56uv"/>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30"/>
      </w:tblGrid>
      <w:tr w14:paraId="6ABD5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trPr>
        <w:tc>
          <w:tcPr>
            <w:tcW w:w="9030" w:type="dxa"/>
            <w:tcBorders>
              <w:top w:val="single" w:color="auto" w:sz="4" w:space="0"/>
              <w:left w:val="nil"/>
              <w:bottom w:val="single" w:color="auto" w:sz="12" w:space="0"/>
              <w:right w:val="nil"/>
            </w:tcBorders>
            <w:noWrap w:val="0"/>
            <w:vAlign w:val="top"/>
          </w:tcPr>
          <w:p w14:paraId="5213BB71">
            <w:pPr>
              <w:spacing w:line="6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温州</w:t>
            </w:r>
            <w:r>
              <w:rPr>
                <w:rFonts w:hint="eastAsia" w:ascii="仿宋_GB2312" w:hAnsi="仿宋_GB2312" w:eastAsia="仿宋_GB2312" w:cs="仿宋_GB2312"/>
                <w:sz w:val="32"/>
                <w:szCs w:val="32"/>
                <w:lang w:val="en-US" w:eastAsia="zh-CN"/>
              </w:rPr>
              <w:t xml:space="preserve">理工学院学术委员会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日印发</w:t>
            </w:r>
          </w:p>
        </w:tc>
      </w:tr>
    </w:tbl>
    <w:p w14:paraId="787F2727">
      <w:pPr>
        <w:rPr>
          <w:rFonts w:hint="eastAsia" w:ascii="仿宋_GB2312" w:hAnsi="仿宋_GB2312" w:eastAsia="仿宋_GB2312" w:cs="仿宋_GB2312"/>
          <w:snapToGrid/>
          <w:sz w:val="32"/>
          <w:szCs w:val="32"/>
        </w:rPr>
      </w:pPr>
    </w:p>
    <w:sectPr>
      <w:footerReference r:id="rId3" w:type="default"/>
      <w:type w:val="continuous"/>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04EE">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9A2D5D">
                          <w:pPr>
                            <w:pStyle w:val="17"/>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199A2D5D">
                    <w:pPr>
                      <w:pStyle w:val="17"/>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dit="readOnly" w:enforcement="1" w:cryptProviderType="rsaFull" w:cryptAlgorithmClass="hash" w:cryptAlgorithmType="typeAny" w:cryptAlgorithmSid="4" w:cryptSpinCount="0" w:hash="y9532D3VIUNmuDyF3nzPWXrCqhU=" w:salt="V7zhH6l6qqaZ31CP5QxOjQ=="/>
  <w:defaultTabStop w:val="420"/>
  <w:drawingGridHorizontalSpacing w:val="0"/>
  <w:drawingGridVerticalSpacing w:val="312"/>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252B50"/>
    <w:rsid w:val="3842692B"/>
    <w:rsid w:val="394B2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kern w:val="2"/>
      <w:sz w:val="21"/>
      <w:szCs w:val="24"/>
      <w:lang w:val="en-US" w:eastAsia="zh-CN" w:bidi="ar-SA"/>
    </w:rPr>
  </w:style>
  <w:style w:type="paragraph" w:styleId="2">
    <w:name w:val="heading 1"/>
    <w:basedOn w:val="1"/>
    <w:next w:val="1"/>
    <w:link w:val="34"/>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5"/>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6"/>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7"/>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8"/>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39"/>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0"/>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2"/>
    <w:unhideWhenUsed/>
    <w:qFormat/>
    <w:uiPriority w:val="9"/>
    <w:pPr>
      <w:keepNext/>
      <w:keepLines/>
      <w:spacing w:before="320" w:after="200"/>
      <w:outlineLvl w:val="8"/>
    </w:pPr>
    <w:rPr>
      <w:rFonts w:ascii="Arial" w:hAnsi="Arial" w:eastAsia="Arial" w:cs="Arial"/>
      <w:i/>
      <w:iCs/>
      <w:sz w:val="21"/>
      <w:szCs w:val="21"/>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874CB"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semiHidden/>
    <w:unhideWhenUsed/>
    <w:uiPriority w:val="99"/>
    <w:pPr>
      <w:spacing w:after="0" w:line="240" w:lineRule="auto"/>
    </w:pPr>
    <w:rPr>
      <w:sz w:val="20"/>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link w:val="51"/>
    <w:unhideWhenUsed/>
    <w:uiPriority w:val="99"/>
    <w:pPr>
      <w:tabs>
        <w:tab w:val="center" w:pos="7143"/>
        <w:tab w:val="right" w:pos="14287"/>
      </w:tabs>
      <w:spacing w:after="0" w:line="240" w:lineRule="auto"/>
    </w:p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uiPriority w:val="99"/>
    <w:pPr>
      <w:spacing w:after="40" w:line="240" w:lineRule="auto"/>
    </w:pPr>
    <w:rPr>
      <w:sz w:val="18"/>
    </w:rPr>
  </w:style>
  <w:style w:type="paragraph" w:styleId="23">
    <w:name w:val="toc 6"/>
    <w:basedOn w:val="1"/>
    <w:next w:val="1"/>
    <w:unhideWhenUsed/>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basedOn w:val="28"/>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endnote reference"/>
    <w:basedOn w:val="30"/>
    <w:semiHidden/>
    <w:unhideWhenUsed/>
    <w:uiPriority w:val="99"/>
    <w:rPr>
      <w:vertAlign w:val="superscript"/>
    </w:rPr>
  </w:style>
  <w:style w:type="character" w:styleId="32">
    <w:name w:val="Hyperlink"/>
    <w:unhideWhenUsed/>
    <w:uiPriority w:val="99"/>
    <w:rPr>
      <w:color w:val="0026E5" w:themeColor="hyperlink"/>
      <w:u w:val="single"/>
      <w14:textFill>
        <w14:solidFill>
          <w14:schemeClr w14:val="hlink"/>
        </w14:solidFill>
      </w14:textFill>
    </w:rPr>
  </w:style>
  <w:style w:type="character" w:styleId="33">
    <w:name w:val="footnote reference"/>
    <w:basedOn w:val="30"/>
    <w:unhideWhenUsed/>
    <w:uiPriority w:val="99"/>
    <w:rPr>
      <w:vertAlign w:val="superscript"/>
    </w:rPr>
  </w:style>
  <w:style w:type="character" w:customStyle="1" w:styleId="34">
    <w:name w:val="Heading 1 Char"/>
    <w:basedOn w:val="30"/>
    <w:link w:val="2"/>
    <w:qFormat/>
    <w:uiPriority w:val="9"/>
    <w:rPr>
      <w:rFonts w:ascii="Arial" w:hAnsi="Arial" w:eastAsia="Arial" w:cs="Arial"/>
      <w:sz w:val="40"/>
      <w:szCs w:val="40"/>
    </w:rPr>
  </w:style>
  <w:style w:type="character" w:customStyle="1" w:styleId="35">
    <w:name w:val="Heading 2 Char"/>
    <w:basedOn w:val="30"/>
    <w:link w:val="3"/>
    <w:uiPriority w:val="9"/>
    <w:rPr>
      <w:rFonts w:ascii="Arial" w:hAnsi="Arial" w:eastAsia="Arial" w:cs="Arial"/>
      <w:sz w:val="34"/>
    </w:rPr>
  </w:style>
  <w:style w:type="character" w:customStyle="1" w:styleId="36">
    <w:name w:val="Heading 3 Char"/>
    <w:basedOn w:val="30"/>
    <w:link w:val="4"/>
    <w:uiPriority w:val="9"/>
    <w:rPr>
      <w:rFonts w:ascii="Arial" w:hAnsi="Arial" w:eastAsia="Arial" w:cs="Arial"/>
      <w:sz w:val="30"/>
      <w:szCs w:val="30"/>
    </w:rPr>
  </w:style>
  <w:style w:type="character" w:customStyle="1" w:styleId="37">
    <w:name w:val="Heading 4 Char"/>
    <w:basedOn w:val="30"/>
    <w:link w:val="5"/>
    <w:qFormat/>
    <w:uiPriority w:val="9"/>
    <w:rPr>
      <w:rFonts w:ascii="Arial" w:hAnsi="Arial" w:eastAsia="Arial" w:cs="Arial"/>
      <w:b/>
      <w:bCs/>
      <w:sz w:val="26"/>
      <w:szCs w:val="26"/>
    </w:rPr>
  </w:style>
  <w:style w:type="character" w:customStyle="1" w:styleId="38">
    <w:name w:val="Heading 5 Char"/>
    <w:basedOn w:val="30"/>
    <w:link w:val="6"/>
    <w:uiPriority w:val="9"/>
    <w:rPr>
      <w:rFonts w:ascii="Arial" w:hAnsi="Arial" w:eastAsia="Arial" w:cs="Arial"/>
      <w:b/>
      <w:bCs/>
      <w:sz w:val="24"/>
      <w:szCs w:val="24"/>
    </w:rPr>
  </w:style>
  <w:style w:type="character" w:customStyle="1" w:styleId="39">
    <w:name w:val="Heading 6 Char"/>
    <w:basedOn w:val="30"/>
    <w:link w:val="7"/>
    <w:uiPriority w:val="9"/>
    <w:rPr>
      <w:rFonts w:ascii="Arial" w:hAnsi="Arial" w:eastAsia="Arial" w:cs="Arial"/>
      <w:b/>
      <w:bCs/>
      <w:sz w:val="22"/>
      <w:szCs w:val="22"/>
    </w:rPr>
  </w:style>
  <w:style w:type="character" w:customStyle="1" w:styleId="40">
    <w:name w:val="Heading 7 Char"/>
    <w:basedOn w:val="30"/>
    <w:link w:val="8"/>
    <w:uiPriority w:val="9"/>
    <w:rPr>
      <w:rFonts w:ascii="Arial" w:hAnsi="Arial" w:eastAsia="Arial" w:cs="Arial"/>
      <w:b/>
      <w:bCs/>
      <w:i/>
      <w:iCs/>
      <w:sz w:val="22"/>
      <w:szCs w:val="22"/>
    </w:rPr>
  </w:style>
  <w:style w:type="character" w:customStyle="1" w:styleId="41">
    <w:name w:val="Heading 8 Char"/>
    <w:basedOn w:val="30"/>
    <w:link w:val="9"/>
    <w:uiPriority w:val="9"/>
    <w:rPr>
      <w:rFonts w:ascii="Arial" w:hAnsi="Arial" w:eastAsia="Arial" w:cs="Arial"/>
      <w:i/>
      <w:iCs/>
      <w:sz w:val="22"/>
      <w:szCs w:val="22"/>
    </w:rPr>
  </w:style>
  <w:style w:type="character" w:customStyle="1" w:styleId="42">
    <w:name w:val="Heading 9 Char"/>
    <w:basedOn w:val="30"/>
    <w:link w:val="10"/>
    <w:uiPriority w:val="9"/>
    <w:rPr>
      <w:rFonts w:ascii="Arial" w:hAnsi="Arial" w:eastAsia="Arial" w:cs="Arial"/>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45">
    <w:name w:val="Title Char"/>
    <w:basedOn w:val="30"/>
    <w:link w:val="27"/>
    <w:uiPriority w:val="10"/>
    <w:rPr>
      <w:sz w:val="48"/>
      <w:szCs w:val="48"/>
    </w:rPr>
  </w:style>
  <w:style w:type="character" w:customStyle="1" w:styleId="46">
    <w:name w:val="Subtitle Char"/>
    <w:basedOn w:val="30"/>
    <w:link w:val="21"/>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uiPriority w:val="30"/>
    <w:rPr>
      <w:i/>
    </w:rPr>
  </w:style>
  <w:style w:type="character" w:customStyle="1" w:styleId="51">
    <w:name w:val="Header Char"/>
    <w:basedOn w:val="30"/>
    <w:link w:val="18"/>
    <w:uiPriority w:val="99"/>
  </w:style>
  <w:style w:type="character" w:customStyle="1" w:styleId="52">
    <w:name w:val="Footer Char"/>
    <w:basedOn w:val="30"/>
    <w:uiPriority w:val="99"/>
  </w:style>
  <w:style w:type="character" w:customStyle="1" w:styleId="53">
    <w:name w:val="Caption Char"/>
    <w:uiPriority w:val="99"/>
  </w:style>
  <w:style w:type="table" w:customStyle="1" w:styleId="54">
    <w:name w:val="Table Grid Light"/>
    <w:basedOn w:val="28"/>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5">
    <w:name w:val="Plain Table 1"/>
    <w:basedOn w:val="28"/>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6">
    <w:name w:val="Plain Table 2"/>
    <w:basedOn w:val="2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Plain Table 3"/>
    <w:basedOn w:val="28"/>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Plain Table 4"/>
    <w:basedOn w:val="28"/>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5"/>
    <w:basedOn w:val="28"/>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Grid Table 1 Light"/>
    <w:basedOn w:val="28"/>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Grid Table 1 Light - Accent 1"/>
    <w:basedOn w:val="28"/>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style>
  <w:style w:type="table" w:customStyle="1" w:styleId="62">
    <w:name w:val="Grid Table 1 Light - Accent 2"/>
    <w:basedOn w:val="28"/>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style>
  <w:style w:type="table" w:customStyle="1" w:styleId="63">
    <w:name w:val="Grid Table 1 Light - Accent 3"/>
    <w:basedOn w:val="28"/>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style>
  <w:style w:type="table" w:customStyle="1" w:styleId="64">
    <w:name w:val="Grid Table 1 Light - Accent 4"/>
    <w:basedOn w:val="28"/>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style>
  <w:style w:type="table" w:customStyle="1" w:styleId="65">
    <w:name w:val="Grid Table 1 Light - Accent 5"/>
    <w:basedOn w:val="28"/>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style>
  <w:style w:type="table" w:customStyle="1" w:styleId="66">
    <w:name w:val="Grid Table 1 Light - Accent 6"/>
    <w:basedOn w:val="28"/>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style>
  <w:style w:type="table" w:customStyle="1" w:styleId="67">
    <w:name w:val="Grid Table 2"/>
    <w:basedOn w:val="28"/>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2 - Accent 1"/>
    <w:basedOn w:val="28"/>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1Horz">
      <w:rPr>
        <w:rFonts w:ascii="Arial" w:hAnsi="Arial"/>
        <w:color w:val="404040"/>
        <w:sz w:val="22"/>
      </w:rPr>
      <w:tcPr>
        <w:shd w:val="clear" w:color="D9E2F4" w:themeColor="accent1" w:themeTint="34" w:fill="D9E2F4" w:themeFill="accent1" w:themeFillTint="34"/>
      </w:tcPr>
    </w:tblStylePr>
  </w:style>
  <w:style w:type="table" w:customStyle="1" w:styleId="69">
    <w:name w:val="Grid Table 2 - Accent 2"/>
    <w:basedOn w:val="28"/>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70">
    <w:name w:val="Grid Table 2 - Accent 3"/>
    <w:basedOn w:val="28"/>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71">
    <w:name w:val="Grid Table 2 - Accent 4"/>
    <w:basedOn w:val="28"/>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72">
    <w:name w:val="Grid Table 2 - Accent 5"/>
    <w:basedOn w:val="28"/>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73">
    <w:name w:val="Grid Table 2 - Accent 6"/>
    <w:basedOn w:val="28"/>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74">
    <w:name w:val="Grid Table 3"/>
    <w:basedOn w:val="28"/>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3 - Accent 1"/>
    <w:basedOn w:val="28"/>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1Horz">
      <w:rPr>
        <w:rFonts w:ascii="Arial" w:hAnsi="Arial"/>
        <w:color w:val="404040"/>
        <w:sz w:val="22"/>
      </w:rPr>
      <w:tcPr>
        <w:shd w:val="clear" w:color="D9E2F4" w:themeColor="accent1" w:themeTint="34" w:fill="D9E2F4" w:themeFill="accent1" w:themeFillTint="34"/>
      </w:tcPr>
    </w:tblStylePr>
  </w:style>
  <w:style w:type="table" w:customStyle="1" w:styleId="76">
    <w:name w:val="Grid Table 3 - Accent 2"/>
    <w:basedOn w:val="28"/>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77">
    <w:name w:val="Grid Table 3 - Accent 3"/>
    <w:basedOn w:val="28"/>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78">
    <w:name w:val="Grid Table 3 - Accent 4"/>
    <w:basedOn w:val="28"/>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79">
    <w:name w:val="Grid Table 3 - Accent 5"/>
    <w:basedOn w:val="28"/>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80">
    <w:name w:val="Grid Table 3 - Accent 6"/>
    <w:basedOn w:val="28"/>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81">
    <w:name w:val="Grid Table 4"/>
    <w:basedOn w:val="28"/>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4 - Accent 1"/>
    <w:basedOn w:val="28"/>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1Horz">
      <w:rPr>
        <w:rFonts w:ascii="Arial" w:hAnsi="Arial"/>
        <w:color w:val="404040"/>
        <w:sz w:val="22"/>
      </w:rPr>
      <w:tcPr>
        <w:shd w:val="clear" w:color="DBE3F4" w:themeColor="accent1" w:themeTint="32" w:fill="DBE3F4" w:themeFill="accent1" w:themeFillTint="32"/>
      </w:tcPr>
    </w:tblStylePr>
  </w:style>
  <w:style w:type="table" w:customStyle="1" w:styleId="83">
    <w:name w:val="Grid Table 4 - Accent 2"/>
    <w:basedOn w:val="28"/>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cPr>
        <w:shd w:val="clear" w:color="FBE6D6" w:themeColor="accent2" w:themeTint="32" w:fill="FBE6D6" w:themeFill="accent2" w:themeFillTint="32"/>
      </w:tcPr>
    </w:tblStylePr>
  </w:style>
  <w:style w:type="table" w:customStyle="1" w:styleId="84">
    <w:name w:val="Grid Table 4 - Accent 3"/>
    <w:basedOn w:val="28"/>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cPr>
        <w:shd w:val="clear" w:color="FEF2C9" w:themeColor="accent3" w:themeTint="34" w:fill="FEF2C9" w:themeFill="accent3" w:themeFillTint="34"/>
      </w:tcPr>
    </w:tblStylePr>
  </w:style>
  <w:style w:type="table" w:customStyle="1" w:styleId="85">
    <w:name w:val="Grid Table 4 - Accent 4"/>
    <w:basedOn w:val="28"/>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cPr>
        <w:shd w:val="clear" w:color="E2F1D8" w:themeColor="accent4" w:themeTint="34" w:fill="E2F1D8" w:themeFill="accent4" w:themeFillTint="34"/>
      </w:tcPr>
    </w:tblStylePr>
  </w:style>
  <w:style w:type="table" w:customStyle="1" w:styleId="86">
    <w:name w:val="Grid Table 4 - Accent 5"/>
    <w:basedOn w:val="28"/>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cPr>
        <w:shd w:val="clear" w:color="D2F3F1" w:themeColor="accent5" w:themeTint="34" w:fill="D2F3F1" w:themeFill="accent5" w:themeFillTint="34"/>
      </w:tcPr>
    </w:tblStylePr>
  </w:style>
  <w:style w:type="table" w:customStyle="1" w:styleId="87">
    <w:name w:val="Grid Table 4 - Accent 6"/>
    <w:basedOn w:val="28"/>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cPr>
        <w:shd w:val="clear" w:color="F9DADE" w:themeColor="accent6" w:themeTint="34" w:fill="F9DADE" w:themeFill="accent6" w:themeFillTint="34"/>
      </w:tcPr>
    </w:tblStylePr>
  </w:style>
  <w:style w:type="table" w:customStyle="1" w:styleId="88">
    <w:name w:val="Grid Table 5 Dark"/>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9">
    <w:name w:val="Grid Table 5 Dark- Accent 1"/>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1Horz">
      <w:tcPr>
        <w:shd w:val="clear" w:color="ABBFE7" w:themeColor="accent1" w:themeTint="75" w:fill="ABBFE7" w:themeFill="accent1" w:themeFillTint="75"/>
      </w:tcPr>
    </w:tblStylePr>
  </w:style>
  <w:style w:type="table" w:customStyle="1" w:styleId="90">
    <w:name w:val="Grid Table 5 Dark - Accent 2"/>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1Horz">
      <w:tcPr>
        <w:shd w:val="clear" w:color="F7C59F" w:themeColor="accent2" w:themeTint="75" w:fill="F7C59F" w:themeFill="accent2" w:themeFillTint="75"/>
      </w:tcPr>
    </w:tblStylePr>
  </w:style>
  <w:style w:type="table" w:customStyle="1" w:styleId="91">
    <w:name w:val="Grid Table 5 Dark - Accent 3"/>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1Horz">
      <w:tcPr>
        <w:shd w:val="clear" w:color="FDE185" w:themeColor="accent3" w:themeTint="75" w:fill="FDE185" w:themeFill="accent3" w:themeFillTint="75"/>
      </w:tcPr>
    </w:tblStylePr>
  </w:style>
  <w:style w:type="table" w:customStyle="1" w:styleId="92">
    <w:name w:val="Grid Table 5 Dark- Accent 4"/>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1Horz">
      <w:tcPr>
        <w:shd w:val="clear" w:color="BFE0A8" w:themeColor="accent4" w:themeTint="75" w:fill="BFE0A8" w:themeFill="accent4" w:themeFillTint="75"/>
      </w:tcPr>
    </w:tblStylePr>
  </w:style>
  <w:style w:type="table" w:customStyle="1" w:styleId="93">
    <w:name w:val="Grid Table 5 Dark - Accent 5"/>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1Horz">
      <w:tcPr>
        <w:shd w:val="clear" w:color="9BE6E0" w:themeColor="accent5" w:themeTint="75" w:fill="9BE6E0" w:themeFill="accent5" w:themeFillTint="75"/>
      </w:tcPr>
    </w:tblStylePr>
  </w:style>
  <w:style w:type="table" w:customStyle="1" w:styleId="94">
    <w:name w:val="Grid Table 5 Dark - Accent 6"/>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1Horz">
      <w:tcPr>
        <w:shd w:val="clear" w:color="F3ACB5" w:themeColor="accent6" w:themeTint="75" w:fill="F3ACB5" w:themeFill="accent6" w:themeFillTint="75"/>
      </w:tcPr>
    </w:tblStylePr>
  </w:style>
  <w:style w:type="table" w:customStyle="1" w:styleId="95">
    <w:name w:val="Grid Table 6 Colorful"/>
    <w:basedOn w:val="28"/>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6 Colorful - Accent 1"/>
    <w:basedOn w:val="28"/>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style>
  <w:style w:type="table" w:customStyle="1" w:styleId="97">
    <w:name w:val="Grid Table 6 Colorful - Accent 2"/>
    <w:basedOn w:val="28"/>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98">
    <w:name w:val="Grid Table 6 Colorful - Accent 3"/>
    <w:basedOn w:val="28"/>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style>
  <w:style w:type="table" w:customStyle="1" w:styleId="99">
    <w:name w:val="Grid Table 6 Colorful - Accent 4"/>
    <w:basedOn w:val="28"/>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00">
    <w:name w:val="Grid Table 6 Colorful - Accent 5"/>
    <w:basedOn w:val="28"/>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style>
  <w:style w:type="table" w:customStyle="1" w:styleId="101">
    <w:name w:val="Grid Table 6 Colorful - Accent 6"/>
    <w:basedOn w:val="28"/>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style>
  <w:style w:type="table" w:customStyle="1" w:styleId="102">
    <w:name w:val="Grid Table 7 Colorful"/>
    <w:basedOn w:val="28"/>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7 Colorful - Accent 1"/>
    <w:basedOn w:val="28"/>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style>
  <w:style w:type="table" w:customStyle="1" w:styleId="104">
    <w:name w:val="Grid Table 7 Colorful - Accent 2"/>
    <w:basedOn w:val="28"/>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05">
    <w:name w:val="Grid Table 7 Colorful - Accent 3"/>
    <w:basedOn w:val="28"/>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style>
  <w:style w:type="table" w:customStyle="1" w:styleId="106">
    <w:name w:val="Grid Table 7 Colorful - Accent 4"/>
    <w:basedOn w:val="28"/>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07">
    <w:name w:val="Grid Table 7 Colorful - Accent 5"/>
    <w:basedOn w:val="28"/>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style>
  <w:style w:type="table" w:customStyle="1" w:styleId="108">
    <w:name w:val="Grid Table 7 Colorful - Accent 6"/>
    <w:basedOn w:val="28"/>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style>
  <w:style w:type="table" w:customStyle="1" w:styleId="109">
    <w:name w:val="List Table 1 Light"/>
    <w:basedOn w:val="28"/>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0">
    <w:name w:val="List Table 1 Light - Accent 1"/>
    <w:basedOn w:val="28"/>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1Horz">
      <w:tcPr>
        <w:shd w:val="clear" w:color="D1DCF1" w:themeColor="accent1" w:themeTint="40" w:fill="D1DCF1" w:themeFill="accent1" w:themeFillTint="40"/>
      </w:tcPr>
    </w:tblStylePr>
  </w:style>
  <w:style w:type="table" w:customStyle="1" w:styleId="111">
    <w:name w:val="List Table 1 Light - Accent 2"/>
    <w:basedOn w:val="28"/>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1Horz">
      <w:tcPr>
        <w:shd w:val="clear" w:color="FADFCA" w:themeColor="accent2" w:themeTint="40" w:fill="FADFCA" w:themeFill="accent2" w:themeFillTint="40"/>
      </w:tcPr>
    </w:tblStylePr>
  </w:style>
  <w:style w:type="table" w:customStyle="1" w:styleId="112">
    <w:name w:val="List Table 1 Light - Accent 3"/>
    <w:basedOn w:val="28"/>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1Horz">
      <w:tcPr>
        <w:shd w:val="clear" w:color="FEEFBC" w:themeColor="accent3" w:themeTint="40" w:fill="FEEFBC" w:themeFill="accent3" w:themeFillTint="40"/>
      </w:tcPr>
    </w:tblStylePr>
  </w:style>
  <w:style w:type="table" w:customStyle="1" w:styleId="113">
    <w:name w:val="List Table 1 Light - Accent 4"/>
    <w:basedOn w:val="28"/>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1Horz">
      <w:tcPr>
        <w:shd w:val="clear" w:color="DCEECF" w:themeColor="accent4" w:themeTint="40" w:fill="DCEECF" w:themeFill="accent4" w:themeFillTint="40"/>
      </w:tcPr>
    </w:tblStylePr>
  </w:style>
  <w:style w:type="table" w:customStyle="1" w:styleId="114">
    <w:name w:val="List Table 1 Light - Accent 5"/>
    <w:basedOn w:val="28"/>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1Horz">
      <w:tcPr>
        <w:shd w:val="clear" w:color="C8F1EE" w:themeColor="accent5" w:themeTint="40" w:fill="C8F1EE" w:themeFill="accent5" w:themeFillTint="40"/>
      </w:tcPr>
    </w:tblStylePr>
  </w:style>
  <w:style w:type="table" w:customStyle="1" w:styleId="115">
    <w:name w:val="List Table 1 Light - Accent 6"/>
    <w:basedOn w:val="28"/>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1Horz">
      <w:tcPr>
        <w:shd w:val="clear" w:color="F8D2D6" w:themeColor="accent6" w:themeTint="40" w:fill="F8D2D6" w:themeFill="accent6" w:themeFillTint="40"/>
      </w:tcPr>
    </w:tblStylePr>
  </w:style>
  <w:style w:type="table" w:customStyle="1" w:styleId="116">
    <w:name w:val="List Table 2"/>
    <w:basedOn w:val="28"/>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7">
    <w:name w:val="List Table 2 - Accent 1"/>
    <w:basedOn w:val="28"/>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1Horz">
      <w:rPr>
        <w:rFonts w:ascii="Arial" w:hAnsi="Arial"/>
        <w:color w:val="404040"/>
        <w:sz w:val="22"/>
      </w:rPr>
      <w:tcPr>
        <w:shd w:val="clear" w:color="D1DCF1" w:themeColor="accent1" w:themeTint="40" w:fill="D1DCF1" w:themeFill="accent1" w:themeFillTint="40"/>
      </w:tcPr>
    </w:tblStylePr>
  </w:style>
  <w:style w:type="table" w:customStyle="1" w:styleId="118">
    <w:name w:val="List Table 2 - Accent 2"/>
    <w:basedOn w:val="28"/>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1Horz">
      <w:rPr>
        <w:rFonts w:ascii="Arial" w:hAnsi="Arial"/>
        <w:color w:val="404040"/>
        <w:sz w:val="22"/>
      </w:rPr>
      <w:tcPr>
        <w:shd w:val="clear" w:color="FADFCA" w:themeColor="accent2" w:themeTint="40" w:fill="FADFCA" w:themeFill="accent2" w:themeFillTint="40"/>
      </w:tcPr>
    </w:tblStylePr>
  </w:style>
  <w:style w:type="table" w:customStyle="1" w:styleId="119">
    <w:name w:val="List Table 2 - Accent 3"/>
    <w:basedOn w:val="28"/>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1Horz">
      <w:rPr>
        <w:rFonts w:ascii="Arial" w:hAnsi="Arial"/>
        <w:color w:val="404040"/>
        <w:sz w:val="22"/>
      </w:rPr>
      <w:tcPr>
        <w:shd w:val="clear" w:color="FEEFBC" w:themeColor="accent3" w:themeTint="40" w:fill="FEEFBC" w:themeFill="accent3" w:themeFillTint="40"/>
      </w:tcPr>
    </w:tblStylePr>
  </w:style>
  <w:style w:type="table" w:customStyle="1" w:styleId="120">
    <w:name w:val="List Table 2 - Accent 4"/>
    <w:basedOn w:val="28"/>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1Horz">
      <w:rPr>
        <w:rFonts w:ascii="Arial" w:hAnsi="Arial"/>
        <w:color w:val="404040"/>
        <w:sz w:val="22"/>
      </w:rPr>
      <w:tcPr>
        <w:shd w:val="clear" w:color="DCEECF" w:themeColor="accent4" w:themeTint="40" w:fill="DCEECF" w:themeFill="accent4" w:themeFillTint="40"/>
      </w:tcPr>
    </w:tblStylePr>
  </w:style>
  <w:style w:type="table" w:customStyle="1" w:styleId="121">
    <w:name w:val="List Table 2 - Accent 5"/>
    <w:basedOn w:val="28"/>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1Horz">
      <w:rPr>
        <w:rFonts w:ascii="Arial" w:hAnsi="Arial"/>
        <w:color w:val="404040"/>
        <w:sz w:val="22"/>
      </w:rPr>
      <w:tcPr>
        <w:shd w:val="clear" w:color="C8F1EE" w:themeColor="accent5" w:themeTint="40" w:fill="C8F1EE" w:themeFill="accent5" w:themeFillTint="40"/>
      </w:tcPr>
    </w:tblStylePr>
  </w:style>
  <w:style w:type="table" w:customStyle="1" w:styleId="122">
    <w:name w:val="List Table 2 - Accent 6"/>
    <w:basedOn w:val="28"/>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1Horz">
      <w:rPr>
        <w:rFonts w:ascii="Arial" w:hAnsi="Arial"/>
        <w:color w:val="404040"/>
        <w:sz w:val="22"/>
      </w:rPr>
      <w:tcPr>
        <w:shd w:val="clear" w:color="F8D2D6" w:themeColor="accent6" w:themeTint="40" w:fill="F8D2D6" w:themeFill="accent6" w:themeFillTint="40"/>
      </w:tcPr>
    </w:tblStylePr>
  </w:style>
  <w:style w:type="table" w:customStyle="1" w:styleId="123">
    <w:name w:val="List Table 3"/>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4">
    <w:name w:val="List Table 3 - Accent 1"/>
    <w:basedOn w:val="28"/>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1Horz">
      <w:rPr>
        <w:rFonts w:ascii="Arial" w:hAnsi="Arial"/>
        <w:color w:val="404040"/>
        <w:sz w:val="22"/>
      </w:rPr>
      <w:tcPr>
        <w:tcBorders>
          <w:top w:val="single" w:color="4874CB" w:themeColor="accent1" w:sz="4" w:space="0"/>
          <w:bottom w:val="single" w:color="4874CB" w:themeColor="accent1" w:sz="4" w:space="0"/>
        </w:tcBorders>
      </w:tcPr>
    </w:tblStylePr>
  </w:style>
  <w:style w:type="table" w:customStyle="1" w:styleId="125">
    <w:name w:val="List Table 3 - Accent 2"/>
    <w:basedOn w:val="28"/>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style>
  <w:style w:type="table" w:customStyle="1" w:styleId="126">
    <w:name w:val="List Table 3 - Accent 3"/>
    <w:basedOn w:val="28"/>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style>
  <w:style w:type="table" w:customStyle="1" w:styleId="127">
    <w:name w:val="List Table 3 - Accent 4"/>
    <w:basedOn w:val="28"/>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style>
  <w:style w:type="table" w:customStyle="1" w:styleId="128">
    <w:name w:val="List Table 3 - Accent 5"/>
    <w:basedOn w:val="28"/>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style>
  <w:style w:type="table" w:customStyle="1" w:styleId="129">
    <w:name w:val="List Table 3 - Accent 6"/>
    <w:basedOn w:val="28"/>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style>
  <w:style w:type="table" w:customStyle="1" w:styleId="130">
    <w:name w:val="List Table 4"/>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1">
    <w:name w:val="List Table 4 - Accent 1"/>
    <w:basedOn w:val="28"/>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1Horz">
      <w:rPr>
        <w:rFonts w:ascii="Arial" w:hAnsi="Arial"/>
        <w:color w:val="404040"/>
        <w:sz w:val="22"/>
      </w:rPr>
      <w:tcPr>
        <w:shd w:val="clear" w:color="D1DCF1" w:themeColor="accent1" w:themeTint="40" w:fill="D1DCF1" w:themeFill="accent1" w:themeFillTint="40"/>
      </w:tcPr>
    </w:tblStylePr>
  </w:style>
  <w:style w:type="table" w:customStyle="1" w:styleId="132">
    <w:name w:val="List Table 4 - Accent 2"/>
    <w:basedOn w:val="28"/>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1Horz">
      <w:rPr>
        <w:rFonts w:ascii="Arial" w:hAnsi="Arial"/>
        <w:color w:val="404040"/>
        <w:sz w:val="22"/>
      </w:rPr>
      <w:tcPr>
        <w:shd w:val="clear" w:color="FADFCA" w:themeColor="accent2" w:themeTint="40" w:fill="FADFCA" w:themeFill="accent2" w:themeFillTint="40"/>
      </w:tcPr>
    </w:tblStylePr>
  </w:style>
  <w:style w:type="table" w:customStyle="1" w:styleId="133">
    <w:name w:val="List Table 4 - Accent 3"/>
    <w:basedOn w:val="28"/>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1Horz">
      <w:rPr>
        <w:rFonts w:ascii="Arial" w:hAnsi="Arial"/>
        <w:color w:val="404040"/>
        <w:sz w:val="22"/>
      </w:rPr>
      <w:tcPr>
        <w:shd w:val="clear" w:color="FEEFBC" w:themeColor="accent3" w:themeTint="40" w:fill="FEEFBC" w:themeFill="accent3" w:themeFillTint="40"/>
      </w:tcPr>
    </w:tblStylePr>
  </w:style>
  <w:style w:type="table" w:customStyle="1" w:styleId="134">
    <w:name w:val="List Table 4 - Accent 4"/>
    <w:basedOn w:val="28"/>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1Horz">
      <w:rPr>
        <w:rFonts w:ascii="Arial" w:hAnsi="Arial"/>
        <w:color w:val="404040"/>
        <w:sz w:val="22"/>
      </w:rPr>
      <w:tcPr>
        <w:shd w:val="clear" w:color="DCEECF" w:themeColor="accent4" w:themeTint="40" w:fill="DCEECF" w:themeFill="accent4" w:themeFillTint="40"/>
      </w:tcPr>
    </w:tblStylePr>
  </w:style>
  <w:style w:type="table" w:customStyle="1" w:styleId="135">
    <w:name w:val="List Table 4 - Accent 5"/>
    <w:basedOn w:val="28"/>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1Horz">
      <w:rPr>
        <w:rFonts w:ascii="Arial" w:hAnsi="Arial"/>
        <w:color w:val="404040"/>
        <w:sz w:val="22"/>
      </w:rPr>
      <w:tcPr>
        <w:shd w:val="clear" w:color="C8F1EE" w:themeColor="accent5" w:themeTint="40" w:fill="C8F1EE" w:themeFill="accent5" w:themeFillTint="40"/>
      </w:tcPr>
    </w:tblStylePr>
  </w:style>
  <w:style w:type="table" w:customStyle="1" w:styleId="136">
    <w:name w:val="List Table 4 - Accent 6"/>
    <w:basedOn w:val="28"/>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1Horz">
      <w:rPr>
        <w:rFonts w:ascii="Arial" w:hAnsi="Arial"/>
        <w:color w:val="404040"/>
        <w:sz w:val="22"/>
      </w:rPr>
      <w:tcPr>
        <w:shd w:val="clear" w:color="F8D2D6" w:themeColor="accent6" w:themeTint="40" w:fill="F8D2D6" w:themeFill="accent6" w:themeFillTint="40"/>
      </w:tcPr>
    </w:tblStylePr>
  </w:style>
  <w:style w:type="table" w:customStyle="1" w:styleId="137">
    <w:name w:val="List Table 5 Dark"/>
    <w:basedOn w:val="28"/>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8">
    <w:name w:val="List Table 5 Dark - Accent 1"/>
    <w:basedOn w:val="28"/>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style>
  <w:style w:type="table" w:customStyle="1" w:styleId="139">
    <w:name w:val="List Table 5 Dark - Accent 2"/>
    <w:basedOn w:val="28"/>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style>
  <w:style w:type="table" w:customStyle="1" w:styleId="140">
    <w:name w:val="List Table 5 Dark - Accent 3"/>
    <w:basedOn w:val="28"/>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style>
  <w:style w:type="table" w:customStyle="1" w:styleId="141">
    <w:name w:val="List Table 5 Dark - Accent 4"/>
    <w:basedOn w:val="28"/>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style>
  <w:style w:type="table" w:customStyle="1" w:styleId="142">
    <w:name w:val="List Table 5 Dark - Accent 5"/>
    <w:basedOn w:val="28"/>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style>
  <w:style w:type="table" w:customStyle="1" w:styleId="143">
    <w:name w:val="List Table 5 Dark - Accent 6"/>
    <w:basedOn w:val="28"/>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style>
  <w:style w:type="table" w:customStyle="1" w:styleId="144">
    <w:name w:val="List Table 6 Colorful"/>
    <w:basedOn w:val="28"/>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5">
    <w:name w:val="List Table 6 Colorful - Accent 1"/>
    <w:basedOn w:val="28"/>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style>
  <w:style w:type="table" w:customStyle="1" w:styleId="146">
    <w:name w:val="List Table 6 Colorful - Accent 2"/>
    <w:basedOn w:val="28"/>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47">
    <w:name w:val="List Table 6 Colorful - Accent 3"/>
    <w:basedOn w:val="28"/>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style>
  <w:style w:type="table" w:customStyle="1" w:styleId="148">
    <w:name w:val="List Table 6 Colorful - Accent 4"/>
    <w:basedOn w:val="28"/>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49">
    <w:name w:val="List Table 6 Colorful - Accent 5"/>
    <w:basedOn w:val="28"/>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style>
  <w:style w:type="table" w:customStyle="1" w:styleId="150">
    <w:name w:val="List Table 6 Colorful - Accent 6"/>
    <w:basedOn w:val="28"/>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style>
  <w:style w:type="table" w:customStyle="1" w:styleId="151">
    <w:name w:val="List Table 7 Colorful"/>
    <w:basedOn w:val="28"/>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2">
    <w:name w:val="List Table 7 Colorful - Accent 1"/>
    <w:basedOn w:val="28"/>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style>
  <w:style w:type="table" w:customStyle="1" w:styleId="153">
    <w:name w:val="List Table 7 Colorful - Accent 2"/>
    <w:basedOn w:val="28"/>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style>
  <w:style w:type="table" w:customStyle="1" w:styleId="154">
    <w:name w:val="List Table 7 Colorful - Accent 3"/>
    <w:basedOn w:val="28"/>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style>
  <w:style w:type="table" w:customStyle="1" w:styleId="155">
    <w:name w:val="List Table 7 Colorful - Accent 4"/>
    <w:basedOn w:val="28"/>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style>
  <w:style w:type="table" w:customStyle="1" w:styleId="156">
    <w:name w:val="List Table 7 Colorful - Accent 5"/>
    <w:basedOn w:val="28"/>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style>
  <w:style w:type="table" w:customStyle="1" w:styleId="157">
    <w:name w:val="List Table 7 Colorful - Accent 6"/>
    <w:basedOn w:val="28"/>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style>
  <w:style w:type="table" w:customStyle="1" w:styleId="158">
    <w:name w:val="Lined - Accent"/>
    <w:basedOn w:val="28"/>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Lined - Accent 1"/>
    <w:basedOn w:val="28"/>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style>
  <w:style w:type="table" w:customStyle="1" w:styleId="160">
    <w:name w:val="Lined - Accent 2"/>
    <w:basedOn w:val="28"/>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style>
  <w:style w:type="table" w:customStyle="1" w:styleId="161">
    <w:name w:val="Lined - Accent 3"/>
    <w:basedOn w:val="28"/>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style>
  <w:style w:type="table" w:customStyle="1" w:styleId="162">
    <w:name w:val="Lined - Accent 4"/>
    <w:basedOn w:val="28"/>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style>
  <w:style w:type="table" w:customStyle="1" w:styleId="163">
    <w:name w:val="Lined - Accent 5"/>
    <w:basedOn w:val="28"/>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style>
  <w:style w:type="table" w:customStyle="1" w:styleId="164">
    <w:name w:val="Lined - Accent 6"/>
    <w:basedOn w:val="28"/>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style>
  <w:style w:type="table" w:customStyle="1" w:styleId="165">
    <w:name w:val="Bordered &amp; Lined - Accent"/>
    <w:basedOn w:val="28"/>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Bordered &amp; Lined - Accent 1"/>
    <w:basedOn w:val="28"/>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style>
  <w:style w:type="table" w:customStyle="1" w:styleId="167">
    <w:name w:val="Bordered &amp; Lined - Accent 2"/>
    <w:basedOn w:val="28"/>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style>
  <w:style w:type="table" w:customStyle="1" w:styleId="168">
    <w:name w:val="Bordered &amp; Lined - Accent 3"/>
    <w:basedOn w:val="28"/>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style>
  <w:style w:type="table" w:customStyle="1" w:styleId="169">
    <w:name w:val="Bordered &amp; Lined - Accent 4"/>
    <w:basedOn w:val="28"/>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style>
  <w:style w:type="table" w:customStyle="1" w:styleId="170">
    <w:name w:val="Bordered &amp; Lined - Accent 5"/>
    <w:basedOn w:val="28"/>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style>
  <w:style w:type="table" w:customStyle="1" w:styleId="171">
    <w:name w:val="Bordered &amp; Lined - Accent 6"/>
    <w:basedOn w:val="28"/>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style>
  <w:style w:type="table" w:customStyle="1" w:styleId="172">
    <w:name w:val="Bordered"/>
    <w:basedOn w:val="28"/>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3">
    <w:name w:val="Bordered - Accent 1"/>
    <w:basedOn w:val="28"/>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style>
  <w:style w:type="table" w:customStyle="1" w:styleId="174">
    <w:name w:val="Bordered - Accent 2"/>
    <w:basedOn w:val="28"/>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style>
  <w:style w:type="table" w:customStyle="1" w:styleId="175">
    <w:name w:val="Bordered - Accent 3"/>
    <w:basedOn w:val="28"/>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style>
  <w:style w:type="table" w:customStyle="1" w:styleId="176">
    <w:name w:val="Bordered - Accent 4"/>
    <w:basedOn w:val="28"/>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style>
  <w:style w:type="table" w:customStyle="1" w:styleId="177">
    <w:name w:val="Bordered - Accent 5"/>
    <w:basedOn w:val="28"/>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style>
  <w:style w:type="table" w:customStyle="1" w:styleId="178">
    <w:name w:val="Bordered - Accent 6"/>
    <w:basedOn w:val="28"/>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Theme="minorHAnsi" w:hAnsiTheme="minorHAnsi" w:eastAsiaTheme="minorEastAsia" w:cstheme="minorBid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宋体"/>
        <a:cs typeface="Arial"/>
      </a:majorFont>
      <a:minorFont>
        <a:latin typeface="Calibri"/>
        <a:ea typeface="宋体"/>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2128</Words>
  <Characters>2149</Characters>
  <TotalTime>0</TotalTime>
  <ScaleCrop>false</ScaleCrop>
  <LinksUpToDate>false</LinksUpToDate>
  <CharactersWithSpaces>2239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兆丰年</cp:lastModifiedBy>
  <cp:revision>2</cp:revision>
  <dcterms:created xsi:type="dcterms:W3CDTF">2026-05-12T16:13:00Z</dcterms:created>
  <dcterms:modified xsi:type="dcterms:W3CDTF">2026-08-24T15:39:03Z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B1904F94502F163EE16D826AB5BE09F2</vt:lpwstr>
  </property>
  <property fmtid="{D5CDD505-2E9C-101B-9397-08002B2CF9AE}" pid="4" name="KSOTemplateDocerSaveRecord">
    <vt:lpwstr>eyJoZGlkIjoiOGNkNTc5YzcxMTdjOWI5MDY4YWE2OTVhYWYxNDU3OWEiLCJ1c2VySWQiOiIzNDUzNjAyMjgifQ==</vt:lpwstr>
  </property>
</Properties>
</file>