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8175B">
      <w:pPr>
        <w:rPr>
          <w:rFonts w:hint="eastAsia" w:ascii="仿宋_GB2312" w:hAnsi="仿宋_GB2312" w:eastAsia="仿宋_GB2312" w:cs="仿宋_GB2312"/>
          <w:sz w:val="32"/>
          <w:szCs w:val="32"/>
          <w:lang w:eastAsia="zh-CN"/>
        </w:rPr>
      </w:pPr>
      <w:bookmarkStart w:id="0" w:name="_GoBack"/>
      <w:bookmarkEnd w:id="0"/>
      <w:r>
        <w:rPr>
          <w:rFonts w:hint="eastAsia" w:ascii="仿宋_GB2312" w:hAnsi="仿宋_GB2312" w:eastAsia="仿宋_GB2312" w:cs="仿宋_GB2312"/>
          <w:sz w:val="32"/>
          <w:szCs w:val="32"/>
          <w:lang w:eastAsia="zh-CN"/>
        </w:rPr>
        <w:drawing>
          <wp:anchor distT="0" distB="0" distL="114300" distR="114300" simplePos="0" relativeHeight="251660288" behindDoc="1" locked="0" layoutInCell="1" allowOverlap="1">
            <wp:simplePos x="0" y="0"/>
            <wp:positionH relativeFrom="column">
              <wp:posOffset>-1143000</wp:posOffset>
            </wp:positionH>
            <wp:positionV relativeFrom="paragraph">
              <wp:posOffset>-914400</wp:posOffset>
            </wp:positionV>
            <wp:extent cx="7560310" cy="3727450"/>
            <wp:effectExtent l="0" t="0" r="2540" b="6350"/>
            <wp:wrapNone/>
            <wp:docPr id="1" name="图片 1" descr="温州理工学院文件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温州理工学院文件头"/>
                    <pic:cNvPicPr>
                      <a:picLocks noChangeAspect="1"/>
                    </pic:cNvPicPr>
                  </pic:nvPicPr>
                  <pic:blipFill>
                    <a:blip r:embed="rId5"/>
                    <a:stretch>
                      <a:fillRect/>
                    </a:stretch>
                  </pic:blipFill>
                  <pic:spPr>
                    <a:xfrm>
                      <a:off x="0" y="0"/>
                      <a:ext cx="7560310" cy="3727450"/>
                    </a:xfrm>
                    <a:prstGeom prst="rect">
                      <a:avLst/>
                    </a:prstGeom>
                  </pic:spPr>
                </pic:pic>
              </a:graphicData>
            </a:graphic>
          </wp:anchor>
        </w:drawing>
      </w:r>
    </w:p>
    <w:p w14:paraId="389426CE">
      <w:pPr>
        <w:rPr>
          <w:rFonts w:hint="eastAsia" w:ascii="仿宋_GB2312" w:hAnsi="仿宋_GB2312" w:eastAsia="仿宋_GB2312" w:cs="仿宋_GB2312"/>
          <w:sz w:val="32"/>
          <w:szCs w:val="32"/>
        </w:rPr>
      </w:pPr>
    </w:p>
    <w:p w14:paraId="2C9635C3">
      <w:pPr>
        <w:rPr>
          <w:rFonts w:hint="eastAsia" w:ascii="仿宋_GB2312" w:hAnsi="仿宋_GB2312" w:eastAsia="仿宋_GB2312" w:cs="仿宋_GB2312"/>
          <w:sz w:val="32"/>
          <w:szCs w:val="32"/>
        </w:rPr>
      </w:pPr>
    </w:p>
    <w:p w14:paraId="027BFD0A">
      <w:pPr>
        <w:rPr>
          <w:rFonts w:hint="eastAsia" w:ascii="仿宋_GB2312" w:hAnsi="仿宋_GB2312" w:eastAsia="仿宋_GB2312" w:cs="仿宋_GB2312"/>
          <w:sz w:val="32"/>
          <w:szCs w:val="32"/>
          <w:lang w:eastAsia="zh-CN"/>
        </w:rPr>
      </w:pPr>
    </w:p>
    <w:p w14:paraId="12C98916">
      <w:pPr>
        <w:rPr>
          <w:rFonts w:hint="eastAsia" w:ascii="仿宋_GB2312" w:hAnsi="仿宋_GB2312" w:eastAsia="仿宋_GB2312" w:cs="仿宋_GB2312"/>
          <w:sz w:val="32"/>
          <w:szCs w:val="32"/>
          <w:lang w:eastAsia="zh-CN"/>
        </w:rPr>
      </w:pPr>
    </w:p>
    <w:p w14:paraId="4B3C6D09">
      <w:pPr>
        <w:rPr>
          <w:rFonts w:hint="eastAsia" w:ascii="仿宋_GB2312" w:hAnsi="仿宋_GB2312" w:eastAsia="仿宋_GB2312" w:cs="仿宋_GB2312"/>
          <w:sz w:val="32"/>
          <w:szCs w:val="32"/>
          <w:lang w:eastAsia="zh-CN"/>
        </w:rPr>
      </w:pPr>
    </w:p>
    <w:p w14:paraId="44709E35">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ascii="Times New Roman" w:hAnsi="Times New Roman" w:eastAsia="方正小标宋_GBK" w:cs="Times New Roman"/>
          <w:snapToGrid/>
          <w:color w:val="000000"/>
          <w:kern w:val="0"/>
          <w:sz w:val="44"/>
          <w:szCs w:val="44"/>
          <w:highlight w:val="none"/>
          <w:lang w:val="en-US" w:eastAsia="zh-CN" w:bidi="ar-SA"/>
        </w:rPr>
      </w:pPr>
      <w:r>
        <w:rPr>
          <w:rFonts w:ascii="Times New Roman" w:hAnsi="Times New Roman" w:eastAsia="仿宋_GB2312" w:cs="Times New Roman"/>
          <w:color w:val="000000"/>
          <w:sz w:val="32"/>
          <w:szCs w:val="32"/>
          <w:highlight w:val="none"/>
        </w:rPr>
        <w:t>温理工</w:t>
      </w:r>
      <w:r>
        <w:rPr>
          <w:rFonts w:hint="eastAsia" w:ascii="Times New Roman" w:hAnsi="Times New Roman" w:eastAsia="仿宋_GB2312" w:cs="Times New Roman"/>
          <w:color w:val="000000"/>
          <w:sz w:val="32"/>
          <w:szCs w:val="32"/>
          <w:highlight w:val="none"/>
          <w:lang w:val="en-US" w:eastAsia="zh-CN"/>
        </w:rPr>
        <w:t>学术</w:t>
      </w:r>
      <w:r>
        <w:rPr>
          <w:rFonts w:ascii="Times New Roman" w:hAnsi="Times New Roman" w:eastAsia="仿宋_GB2312" w:cs="Times New Roman"/>
          <w:color w:val="000000"/>
          <w:sz w:val="32"/>
          <w:szCs w:val="32"/>
          <w:highlight w:val="none"/>
          <w:lang w:val="en-US" w:eastAsia="zh-CN"/>
        </w:rPr>
        <w:t>发</w:t>
      </w:r>
      <w:r>
        <w:rPr>
          <w:rFonts w:ascii="Times New Roman" w:hAnsi="Times New Roman" w:eastAsia="仿宋_GB2312" w:cs="Times New Roman"/>
          <w:color w:val="000000"/>
          <w:sz w:val="32"/>
          <w:szCs w:val="32"/>
          <w:highlight w:val="none"/>
        </w:rPr>
        <w:t>〔202</w:t>
      </w:r>
      <w:r>
        <w:rPr>
          <w:rFonts w:ascii="Times New Roman" w:hAnsi="Times New Roman" w:eastAsia="仿宋_GB2312" w:cs="Times New Roman"/>
          <w:color w:val="000000"/>
          <w:sz w:val="32"/>
          <w:szCs w:val="32"/>
          <w:highlight w:val="none"/>
          <w:lang w:val="en-US" w:eastAsia="zh-CN"/>
        </w:rPr>
        <w:t>6</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1</w:t>
      </w:r>
      <w:r>
        <w:rPr>
          <w:rFonts w:ascii="Times New Roman" w:hAnsi="Times New Roman" w:eastAsia="仿宋_GB2312" w:cs="Times New Roman"/>
          <w:color w:val="000000"/>
          <w:sz w:val="32"/>
          <w:szCs w:val="32"/>
          <w:highlight w:val="none"/>
        </w:rPr>
        <w:t>号</w:t>
      </w:r>
    </w:p>
    <w:p w14:paraId="2ECF5A56">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ascii="Times New Roman" w:hAnsi="Times New Roman" w:eastAsia="方正小标宋_GBK" w:cs="Times New Roman"/>
          <w:snapToGrid/>
          <w:color w:val="000000"/>
          <w:kern w:val="0"/>
          <w:sz w:val="44"/>
          <w:szCs w:val="44"/>
          <w:highlight w:val="none"/>
          <w:lang w:val="en-US" w:eastAsia="zh-CN" w:bidi="ar-SA"/>
        </w:rPr>
      </w:pPr>
    </w:p>
    <w:p w14:paraId="1E5A4CE2">
      <w:pPr>
        <w:widowControl/>
        <w:spacing w:line="600" w:lineRule="exact"/>
        <w:jc w:val="center"/>
        <w:rPr>
          <w:rFonts w:hint="eastAsia" w:ascii="方正小标宋_GBK" w:hAnsi="宋体" w:eastAsia="方正小标宋_GBK" w:cs="Times New Roman"/>
          <w:snapToGrid/>
          <w:sz w:val="44"/>
          <w:szCs w:val="44"/>
          <w:lang w:val="en-US" w:eastAsia="zh-CN"/>
        </w:rPr>
      </w:pPr>
      <w:r>
        <w:rPr>
          <w:rFonts w:hint="eastAsia" w:ascii="方正小标宋_GBK" w:hAnsi="宋体" w:eastAsia="方正小标宋_GBK" w:cs="Times New Roman"/>
          <w:sz w:val="44"/>
          <w:szCs w:val="44"/>
          <w:lang w:val="en-US" w:eastAsia="zh-CN"/>
        </w:rPr>
        <w:t>关于印发《温州理工学院学术道德委员会</w:t>
      </w:r>
    </w:p>
    <w:p w14:paraId="07089F39">
      <w:pPr>
        <w:widowControl/>
        <w:spacing w:line="600" w:lineRule="exact"/>
        <w:jc w:val="center"/>
        <w:rPr>
          <w:rFonts w:hint="eastAsia" w:ascii="方正小标宋_GBK" w:hAnsi="宋体" w:eastAsia="方正小标宋_GBK" w:cs="Times New Roman"/>
          <w:sz w:val="44"/>
          <w:szCs w:val="44"/>
          <w:lang w:val="en-US" w:eastAsia="zh-CN"/>
        </w:rPr>
      </w:pPr>
      <w:r>
        <w:rPr>
          <w:rFonts w:hint="eastAsia" w:ascii="方正小标宋_GBK" w:hAnsi="宋体" w:eastAsia="方正小标宋_GBK" w:cs="Times New Roman"/>
          <w:sz w:val="44"/>
          <w:szCs w:val="44"/>
          <w:lang w:val="en-US" w:eastAsia="zh-CN"/>
        </w:rPr>
        <w:t>章程》的通知</w:t>
      </w:r>
    </w:p>
    <w:p w14:paraId="72407D0E">
      <w:pPr>
        <w:keepNext w:val="0"/>
        <w:keepLines w:val="0"/>
        <w:pageBreakBefore w:val="0"/>
        <w:kinsoku/>
        <w:wordWrap/>
        <w:overflowPunct/>
        <w:topLinePunct w:val="0"/>
        <w:autoSpaceDE/>
        <w:autoSpaceDN/>
        <w:bidi w:val="0"/>
        <w:spacing w:line="560" w:lineRule="exact"/>
        <w:jc w:val="both"/>
        <w:textAlignment w:val="auto"/>
        <w:rPr>
          <w:rFonts w:hint="eastAsia" w:ascii="方正小标宋_GBK" w:hAnsi="方正小标宋_GBK" w:eastAsia="方正小标宋_GBK" w:cs="方正小标宋_GBK"/>
          <w:color w:val="000000"/>
          <w:sz w:val="44"/>
          <w:szCs w:val="44"/>
          <w:lang w:eastAsia="zh-CN"/>
        </w:rPr>
      </w:pPr>
    </w:p>
    <w:p w14:paraId="541F9283">
      <w:pPr>
        <w:keepNext w:val="0"/>
        <w:keepLines w:val="0"/>
        <w:pageBreakBefore w:val="0"/>
        <w:widowControl w:val="0"/>
        <w:kinsoku/>
        <w:wordWrap/>
        <w:overflowPunct/>
        <w:topLinePunct/>
        <w:autoSpaceDE/>
        <w:autoSpaceDN/>
        <w:bidi w:val="0"/>
        <w:adjustRightInd w:val="0"/>
        <w:snapToGrid/>
        <w:spacing w:beforeAutospacing="0" w:afterAutospacing="0" w:line="600" w:lineRule="exact"/>
        <w:ind w:left="0" w:leftChars="0" w:right="0"/>
        <w:jc w:val="both"/>
        <w:textAlignment w:val="auto"/>
        <w:rPr>
          <w:rFonts w:ascii="Times New Roman" w:hAnsi="Times New Roman" w:eastAsia="仿宋_GB2312" w:cs="Times New Roman"/>
          <w:snapToGrid/>
          <w:color w:val="000000"/>
          <w:kern w:val="2"/>
          <w:sz w:val="32"/>
          <w:szCs w:val="32"/>
          <w:highlight w:val="none"/>
          <w:lang w:eastAsia="zh-CN"/>
        </w:rPr>
      </w:pPr>
      <w:r>
        <w:rPr>
          <w:rFonts w:ascii="Times New Roman" w:hAnsi="Times New Roman" w:eastAsia="仿宋_GB2312" w:cs="Times New Roman"/>
          <w:snapToGrid/>
          <w:color w:val="000000"/>
          <w:kern w:val="2"/>
          <w:sz w:val="32"/>
          <w:szCs w:val="32"/>
          <w:highlight w:val="none"/>
          <w:lang w:eastAsia="zh-CN"/>
        </w:rPr>
        <w:t>各二级学院、各部门：</w:t>
      </w:r>
    </w:p>
    <w:p w14:paraId="63AA1E02">
      <w:pPr>
        <w:keepNext w:val="0"/>
        <w:keepLines w:val="0"/>
        <w:pageBreakBefore w:val="0"/>
        <w:widowControl w:val="0"/>
        <w:tabs>
          <w:tab w:val="left" w:pos="4620"/>
        </w:tabs>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ascii="Times New Roman" w:hAnsi="Times New Roman" w:eastAsia="仿宋_GB2312" w:cs="Times New Roman"/>
          <w:snapToGrid/>
          <w:color w:val="000000"/>
          <w:kern w:val="2"/>
          <w:sz w:val="32"/>
          <w:szCs w:val="32"/>
          <w:highlight w:val="none"/>
          <w:lang w:eastAsia="zh-CN"/>
        </w:rPr>
      </w:pPr>
      <w:r>
        <w:rPr>
          <w:rFonts w:ascii="Times New Roman" w:hAnsi="Times New Roman" w:eastAsia="仿宋_GB2312" w:cs="Times New Roman"/>
          <w:snapToGrid/>
          <w:color w:val="000000"/>
          <w:kern w:val="2"/>
          <w:sz w:val="32"/>
          <w:szCs w:val="32"/>
          <w:highlight w:val="none"/>
          <w:lang w:eastAsia="zh-CN"/>
        </w:rPr>
        <w:t>现将《温州理工学院学术道德委员会章程》印发给你们，请</w:t>
      </w:r>
      <w:r>
        <w:rPr>
          <w:rFonts w:ascii="Times New Roman" w:hAnsi="Times New Roman" w:eastAsia="仿宋_GB2312" w:cs="Times New Roman"/>
          <w:snapToGrid/>
          <w:color w:val="000000"/>
          <w:kern w:val="2"/>
          <w:sz w:val="32"/>
          <w:szCs w:val="32"/>
          <w:highlight w:val="none"/>
          <w:lang w:val="en-US" w:eastAsia="zh-CN"/>
        </w:rPr>
        <w:t>认真</w:t>
      </w:r>
      <w:r>
        <w:rPr>
          <w:rFonts w:ascii="Times New Roman" w:hAnsi="Times New Roman" w:eastAsia="仿宋_GB2312" w:cs="Times New Roman"/>
          <w:snapToGrid/>
          <w:color w:val="000000"/>
          <w:kern w:val="2"/>
          <w:sz w:val="32"/>
          <w:szCs w:val="32"/>
          <w:highlight w:val="none"/>
          <w:lang w:eastAsia="zh-CN"/>
        </w:rPr>
        <w:t>遵照执行。</w:t>
      </w:r>
    </w:p>
    <w:p w14:paraId="6580A796">
      <w:pPr>
        <w:rPr>
          <w:rFonts w:ascii="Times New Roman" w:hAnsi="Times New Roman" w:eastAsia="宋体" w:cs="Times New Roman"/>
          <w:sz w:val="21"/>
          <w:szCs w:val="24"/>
          <w:lang w:eastAsia="zh-CN"/>
        </w:rPr>
      </w:pPr>
    </w:p>
    <w:p w14:paraId="2FE41D59">
      <w:pPr>
        <w:keepNext w:val="0"/>
        <w:keepLines w:val="0"/>
        <w:pageBreakBefore w:val="0"/>
        <w:widowControl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ascii="Times New Roman" w:hAnsi="Times New Roman" w:eastAsia="仿宋_GB2312" w:cs="Times New Roman"/>
          <w:snapToGrid/>
          <w:color w:val="000000"/>
          <w:kern w:val="2"/>
          <w:sz w:val="32"/>
          <w:szCs w:val="32"/>
          <w:highlight w:val="none"/>
          <w:lang w:eastAsia="zh-CN"/>
        </w:rPr>
      </w:pPr>
    </w:p>
    <w:p w14:paraId="17AA44D5">
      <w:pPr>
        <w:keepNext w:val="0"/>
        <w:keepLines w:val="0"/>
        <w:pageBreakBefore w:val="0"/>
        <w:widowControl w:val="0"/>
        <w:kinsoku/>
        <w:wordWrap/>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ascii="Times New Roman" w:hAnsi="Times New Roman" w:eastAsia="仿宋_GB2312" w:cs="Times New Roman"/>
          <w:snapToGrid/>
          <w:color w:val="000000"/>
          <w:kern w:val="2"/>
          <w:sz w:val="32"/>
          <w:szCs w:val="28"/>
          <w:highlight w:val="none"/>
          <w:lang w:val="en-US" w:eastAsia="zh-CN"/>
        </w:rPr>
      </w:pPr>
      <w:r>
        <w:rPr>
          <w:rFonts w:ascii="Times New Roman" w:hAnsi="Times New Roman" w:eastAsia="仿宋_GB2312" w:cs="Times New Roman"/>
          <w:snapToGrid/>
          <w:color w:val="000000"/>
          <w:kern w:val="2"/>
          <w:sz w:val="32"/>
          <w:szCs w:val="28"/>
          <w:highlight w:val="none"/>
          <w:lang w:eastAsia="zh-CN"/>
        </w:rPr>
        <w:t xml:space="preserve">              </w:t>
      </w:r>
      <w:r>
        <w:rPr>
          <w:rFonts w:ascii="Times New Roman" w:hAnsi="Times New Roman" w:eastAsia="仿宋_GB2312" w:cs="Times New Roman"/>
          <w:snapToGrid/>
          <w:color w:val="000000"/>
          <w:kern w:val="2"/>
          <w:sz w:val="32"/>
          <w:szCs w:val="28"/>
          <w:highlight w:val="none"/>
          <w:lang w:val="en-US" w:eastAsia="zh-CN"/>
        </w:rPr>
        <w:t>温州理工学院</w:t>
      </w:r>
      <w:r>
        <w:rPr>
          <w:rFonts w:hint="eastAsia" w:ascii="Times New Roman" w:hAnsi="Times New Roman" w:eastAsia="仿宋_GB2312" w:cs="Times New Roman"/>
          <w:snapToGrid/>
          <w:color w:val="000000"/>
          <w:kern w:val="2"/>
          <w:sz w:val="32"/>
          <w:szCs w:val="28"/>
          <w:highlight w:val="none"/>
          <w:lang w:val="en-US" w:eastAsia="zh-CN"/>
        </w:rPr>
        <w:t>学术委员会</w:t>
      </w:r>
    </w:p>
    <w:p w14:paraId="15746E0B">
      <w:pPr>
        <w:keepNext w:val="0"/>
        <w:keepLines w:val="0"/>
        <w:pageBreakBefore w:val="0"/>
        <w:widowControl w:val="0"/>
        <w:kinsoku/>
        <w:wordWrap/>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ascii="Times New Roman" w:hAnsi="Times New Roman" w:eastAsia="仿宋_GB2312" w:cs="Times New Roman"/>
          <w:snapToGrid/>
          <w:color w:val="000000"/>
          <w:kern w:val="2"/>
          <w:sz w:val="32"/>
          <w:szCs w:val="28"/>
          <w:highlight w:val="none"/>
          <w:lang w:eastAsia="zh-CN"/>
        </w:rPr>
      </w:pPr>
      <w:r>
        <w:rPr>
          <w:rFonts w:ascii="Times New Roman" w:hAnsi="Times New Roman" w:eastAsia="仿宋_GB2312" w:cs="Times New Roman"/>
          <w:snapToGrid/>
          <w:color w:val="000000"/>
          <w:kern w:val="2"/>
          <w:sz w:val="32"/>
          <w:szCs w:val="28"/>
          <w:highlight w:val="none"/>
          <w:lang w:eastAsia="zh-CN"/>
        </w:rPr>
        <w:t xml:space="preserve">              20</w:t>
      </w:r>
      <w:r>
        <w:rPr>
          <w:rFonts w:ascii="Times New Roman" w:hAnsi="Times New Roman" w:eastAsia="仿宋_GB2312" w:cs="Times New Roman"/>
          <w:snapToGrid/>
          <w:color w:val="000000"/>
          <w:kern w:val="2"/>
          <w:sz w:val="32"/>
          <w:szCs w:val="28"/>
          <w:highlight w:val="none"/>
          <w:lang w:val="en-US" w:eastAsia="zh-CN"/>
        </w:rPr>
        <w:t>26</w:t>
      </w:r>
      <w:r>
        <w:rPr>
          <w:rFonts w:ascii="Times New Roman" w:hAnsi="Times New Roman" w:eastAsia="仿宋_GB2312" w:cs="Times New Roman"/>
          <w:snapToGrid/>
          <w:color w:val="000000"/>
          <w:kern w:val="2"/>
          <w:sz w:val="32"/>
          <w:szCs w:val="28"/>
          <w:highlight w:val="none"/>
          <w:lang w:eastAsia="zh-CN"/>
        </w:rPr>
        <w:t>年</w:t>
      </w:r>
      <w:r>
        <w:rPr>
          <w:rFonts w:hint="eastAsia" w:ascii="Times New Roman" w:hAnsi="Times New Roman" w:eastAsia="仿宋_GB2312" w:cs="Times New Roman"/>
          <w:snapToGrid/>
          <w:color w:val="000000"/>
          <w:kern w:val="2"/>
          <w:sz w:val="32"/>
          <w:szCs w:val="28"/>
          <w:highlight w:val="none"/>
          <w:lang w:val="en-US" w:eastAsia="zh-CN"/>
        </w:rPr>
        <w:t>8</w:t>
      </w:r>
      <w:r>
        <w:rPr>
          <w:rFonts w:ascii="Times New Roman" w:hAnsi="Times New Roman" w:eastAsia="仿宋_GB2312" w:cs="Times New Roman"/>
          <w:snapToGrid/>
          <w:color w:val="000000"/>
          <w:kern w:val="2"/>
          <w:sz w:val="32"/>
          <w:szCs w:val="28"/>
          <w:highlight w:val="none"/>
          <w:lang w:eastAsia="zh-CN"/>
        </w:rPr>
        <w:t>月</w:t>
      </w:r>
      <w:r>
        <w:rPr>
          <w:rFonts w:hint="eastAsia" w:ascii="Times New Roman" w:hAnsi="Times New Roman" w:eastAsia="仿宋_GB2312" w:cs="Times New Roman"/>
          <w:snapToGrid/>
          <w:color w:val="000000"/>
          <w:kern w:val="2"/>
          <w:sz w:val="32"/>
          <w:szCs w:val="28"/>
          <w:highlight w:val="none"/>
          <w:lang w:val="en-US" w:eastAsia="zh-CN"/>
        </w:rPr>
        <w:t>14</w:t>
      </w:r>
      <w:r>
        <w:rPr>
          <w:rFonts w:ascii="Times New Roman" w:hAnsi="Times New Roman" w:eastAsia="仿宋_GB2312" w:cs="Times New Roman"/>
          <w:snapToGrid/>
          <w:color w:val="000000"/>
          <w:kern w:val="2"/>
          <w:sz w:val="32"/>
          <w:szCs w:val="28"/>
          <w:highlight w:val="none"/>
          <w:lang w:eastAsia="zh-CN"/>
        </w:rPr>
        <w:t>日</w:t>
      </w:r>
    </w:p>
    <w:p w14:paraId="68023039">
      <w:pPr>
        <w:kinsoku/>
        <w:wordWrap/>
        <w:overflowPunct/>
        <w:topLinePunct w:val="0"/>
        <w:autoSpaceDE/>
        <w:autoSpaceDN/>
        <w:bidi w:val="0"/>
        <w:adjustRightInd/>
        <w:snapToGrid/>
        <w:rPr>
          <w:rFonts w:ascii="方正小标宋_GBK" w:hAnsi="方正小标宋_GBK" w:eastAsia="方正小标宋_GBK" w:cs="方正小标宋_GBK"/>
          <w:color w:val="000000"/>
          <w:sz w:val="44"/>
          <w:szCs w:val="44"/>
          <w:lang w:val="en-US" w:eastAsia="zh-CN"/>
        </w:rPr>
      </w:pPr>
      <w:r>
        <w:rPr>
          <w:rFonts w:ascii="方正小标宋_GBK" w:hAnsi="方正小标宋_GBK" w:eastAsia="方正小标宋_GBK" w:cs="方正小标宋_GBK"/>
          <w:color w:val="000000"/>
          <w:sz w:val="44"/>
          <w:szCs w:val="44"/>
          <w:lang w:val="en-US" w:eastAsia="zh-CN"/>
        </w:rPr>
        <w:br w:type="page" w:clear="all"/>
      </w:r>
    </w:p>
    <w:p w14:paraId="1F5FB817">
      <w:pPr>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napToGrid/>
          <w:color w:val="000000"/>
          <w:sz w:val="44"/>
          <w:szCs w:val="44"/>
          <w:lang w:val="en-US" w:eastAsia="zh-CN"/>
        </w:rPr>
        <w:sectPr>
          <w:footerReference r:id="rId3" w:type="default"/>
          <w:type w:val="continuous"/>
          <w:pgSz w:w="11906" w:h="16838"/>
          <w:pgMar w:top="1440" w:right="1800" w:bottom="1440" w:left="1800" w:header="851" w:footer="992" w:gutter="0"/>
          <w:pgNumType w:fmt="decimal"/>
          <w:cols w:space="1701" w:num="1"/>
          <w:docGrid w:type="lines" w:linePitch="312" w:charSpace="0"/>
        </w:sectPr>
      </w:pPr>
    </w:p>
    <w:p w14:paraId="30340B18">
      <w:pPr>
        <w:widowControl/>
        <w:spacing w:line="600" w:lineRule="exact"/>
        <w:jc w:val="center"/>
        <w:rPr>
          <w:rFonts w:hint="eastAsia" w:ascii="方正仿宋_GBK" w:eastAsia="方正小标宋_GBK"/>
        </w:rPr>
      </w:pPr>
      <w:r>
        <w:rPr>
          <w:rFonts w:hint="eastAsia" w:ascii="方正小标宋_GBK" w:hAnsi="宋体" w:eastAsia="方正小标宋_GBK"/>
          <w:kern w:val="0"/>
          <w:sz w:val="44"/>
          <w:szCs w:val="44"/>
        </w:rPr>
        <w:t>温州理工学院</w:t>
      </w:r>
      <w:r>
        <w:rPr>
          <w:rFonts w:hint="eastAsia" w:ascii="方正小标宋_GBK" w:hAnsi="宋体" w:eastAsia="方正小标宋_GBK"/>
          <w:sz w:val="44"/>
          <w:szCs w:val="44"/>
        </w:rPr>
        <w:t>学术道德委员会</w:t>
      </w:r>
      <w:r>
        <w:rPr>
          <w:rFonts w:hint="eastAsia" w:ascii="方正小标宋_GBK" w:hAnsi="宋体" w:eastAsia="方正小标宋_GBK"/>
          <w:bCs/>
          <w:sz w:val="44"/>
          <w:szCs w:val="44"/>
        </w:rPr>
        <w:t>章程</w:t>
      </w:r>
    </w:p>
    <w:p w14:paraId="704763F7">
      <w:pPr>
        <w:pStyle w:val="182"/>
        <w:adjustRightInd w:val="0"/>
        <w:snapToGrid w:val="0"/>
        <w:spacing w:line="600" w:lineRule="exact"/>
        <w:ind w:right="13" w:rightChars="6"/>
        <w:rPr>
          <w:rFonts w:hint="eastAsia" w:ascii="仿宋_GB2312" w:hAnsi="Times New Roman" w:eastAsia="仿宋_GB2312"/>
          <w:bCs/>
          <w:kern w:val="0"/>
          <w:sz w:val="32"/>
          <w:szCs w:val="32"/>
        </w:rPr>
      </w:pPr>
    </w:p>
    <w:p w14:paraId="4D2D7088">
      <w:pPr>
        <w:spacing w:line="600" w:lineRule="exact"/>
        <w:jc w:val="center"/>
        <w:rPr>
          <w:rFonts w:hint="eastAsia" w:ascii="黑体" w:hAnsi="黑体" w:eastAsia="黑体" w:cs="黑体"/>
          <w:sz w:val="32"/>
          <w:szCs w:val="40"/>
          <w:shd w:val="clear" w:color="auto" w:fill="FFFFFF"/>
        </w:rPr>
      </w:pPr>
      <w:r>
        <w:rPr>
          <w:rFonts w:hint="eastAsia" w:ascii="黑体" w:hAnsi="黑体" w:eastAsia="黑体" w:cs="黑体"/>
          <w:bCs/>
          <w:sz w:val="32"/>
          <w:szCs w:val="40"/>
          <w:shd w:val="clear" w:color="auto" w:fill="FFFFFF"/>
        </w:rPr>
        <w:t>第一章</w:t>
      </w:r>
      <w:r>
        <w:rPr>
          <w:rFonts w:hint="eastAsia" w:ascii="黑体" w:hAnsi="黑体" w:eastAsia="黑体" w:cs="黑体"/>
          <w:b/>
          <w:sz w:val="32"/>
          <w:szCs w:val="40"/>
          <w:shd w:val="clear" w:color="auto" w:fill="FFFFFF"/>
        </w:rPr>
        <w:t xml:space="preserve">  </w:t>
      </w:r>
      <w:r>
        <w:rPr>
          <w:rFonts w:hint="eastAsia" w:ascii="黑体" w:hAnsi="黑体" w:eastAsia="黑体" w:cs="黑体"/>
          <w:sz w:val="32"/>
          <w:szCs w:val="40"/>
          <w:shd w:val="clear" w:color="auto" w:fill="FFFFFF"/>
        </w:rPr>
        <w:t>总  则</w:t>
      </w:r>
    </w:p>
    <w:p w14:paraId="5A3CA86E">
      <w:pPr>
        <w:spacing w:line="600" w:lineRule="exact"/>
        <w:ind w:firstLine="643" w:firstLineChars="200"/>
        <w:rPr>
          <w:rFonts w:hint="eastAsia" w:ascii="仿宋_GB2312" w:hAnsi="仿宋_GB2312" w:eastAsia="仿宋_GB2312" w:cs="仿宋_GB2312"/>
          <w:sz w:val="32"/>
          <w:szCs w:val="40"/>
          <w:shd w:val="clear" w:color="auto" w:fill="FFFFFF"/>
        </w:rPr>
      </w:pPr>
      <w:r>
        <w:rPr>
          <w:rFonts w:hint="eastAsia" w:ascii="仿宋_GB2312" w:hAnsi="仿宋_GB2312" w:eastAsia="仿宋_GB2312" w:cs="仿宋_GB2312"/>
          <w:b/>
          <w:sz w:val="32"/>
          <w:szCs w:val="40"/>
          <w:shd w:val="clear" w:color="auto" w:fill="FFFFFF"/>
        </w:rPr>
        <w:t>第一条</w:t>
      </w:r>
      <w:r>
        <w:rPr>
          <w:rFonts w:hint="eastAsia" w:ascii="仿宋_GB2312" w:hAnsi="仿宋_GB2312" w:eastAsia="仿宋_GB2312" w:cs="仿宋_GB2312"/>
          <w:sz w:val="32"/>
          <w:szCs w:val="40"/>
          <w:shd w:val="clear" w:color="auto" w:fill="FFFFFF"/>
        </w:rPr>
        <w:t>　为加强学术道德建设，弘扬科学精神，营造良好的学术氛围，根据《教育部关于加强高等学校科研诚信建设和学术不端治理的指导意见》（教科信〔2024〕2号）、《温州理工学院学术委员会章程》等文件精神，结合我校实际，制定本章程。</w:t>
      </w:r>
    </w:p>
    <w:p w14:paraId="582A9403">
      <w:pPr>
        <w:spacing w:line="600" w:lineRule="exact"/>
        <w:ind w:firstLine="643" w:firstLineChars="200"/>
        <w:rPr>
          <w:rFonts w:hint="eastAsia" w:ascii="仿宋_GB2312" w:hAnsi="仿宋_GB2312" w:eastAsia="仿宋_GB2312" w:cs="仿宋_GB2312"/>
          <w:sz w:val="32"/>
          <w:szCs w:val="40"/>
          <w:shd w:val="clear" w:color="auto" w:fill="FFFFFF"/>
        </w:rPr>
      </w:pPr>
      <w:r>
        <w:rPr>
          <w:rFonts w:hint="eastAsia" w:ascii="仿宋_GB2312" w:hAnsi="仿宋_GB2312" w:eastAsia="仿宋_GB2312" w:cs="仿宋_GB2312"/>
          <w:b/>
          <w:sz w:val="32"/>
          <w:szCs w:val="40"/>
          <w:shd w:val="clear" w:color="auto" w:fill="FFFFFF"/>
        </w:rPr>
        <w:t>第二条</w:t>
      </w:r>
      <w:r>
        <w:rPr>
          <w:rFonts w:hint="eastAsia" w:ascii="仿宋_GB2312" w:hAnsi="仿宋_GB2312" w:eastAsia="仿宋_GB2312" w:cs="仿宋_GB2312"/>
          <w:sz w:val="32"/>
          <w:szCs w:val="40"/>
          <w:shd w:val="clear" w:color="auto" w:fill="FFFFFF"/>
        </w:rPr>
        <w:t>　学术道德委员会是校学术委员会下设的专门委员会，是学校负责学术道德建设、学术行为规范和学风维护的指导、监督机构，也是涉嫌学术不端行为的调查机构，在校学术委员会的指导下开展工作。</w:t>
      </w:r>
    </w:p>
    <w:p w14:paraId="150FA40F">
      <w:pPr>
        <w:spacing w:line="600" w:lineRule="exact"/>
        <w:ind w:firstLine="643" w:firstLineChars="200"/>
        <w:rPr>
          <w:rFonts w:hint="eastAsia" w:ascii="仿宋_GB2312" w:hAnsi="仿宋_GB2312" w:eastAsia="仿宋_GB2312" w:cs="仿宋_GB2312"/>
          <w:sz w:val="32"/>
          <w:szCs w:val="40"/>
          <w:shd w:val="clear" w:color="auto" w:fill="FFFFFF"/>
        </w:rPr>
      </w:pPr>
      <w:r>
        <w:rPr>
          <w:rFonts w:hint="eastAsia" w:ascii="仿宋_GB2312" w:hAnsi="仿宋_GB2312" w:eastAsia="仿宋_GB2312" w:cs="仿宋_GB2312"/>
          <w:b/>
          <w:sz w:val="32"/>
          <w:szCs w:val="40"/>
          <w:shd w:val="clear" w:color="auto" w:fill="FFFFFF"/>
        </w:rPr>
        <w:t>第三条</w:t>
      </w:r>
      <w:r>
        <w:rPr>
          <w:rFonts w:hint="eastAsia" w:ascii="仿宋_GB2312" w:hAnsi="仿宋_GB2312" w:eastAsia="仿宋_GB2312" w:cs="仿宋_GB2312"/>
          <w:bCs/>
          <w:sz w:val="32"/>
          <w:szCs w:val="40"/>
          <w:shd w:val="clear" w:color="auto" w:fill="FFFFFF"/>
        </w:rPr>
        <w:t>　学术道德委员会以弘扬严谨治学、实事求是、民主务实、勇于创新的学风为宗旨，以严肃学术纪律、规范学术行为、维护学术尊严和学者声誉，营造公平公正和健康向上的学术环境，促进学术诚信和学术进步为根本目的。</w:t>
      </w:r>
    </w:p>
    <w:p w14:paraId="31CD13F2">
      <w:pPr>
        <w:spacing w:line="600" w:lineRule="exact"/>
        <w:jc w:val="center"/>
        <w:rPr>
          <w:rFonts w:hint="eastAsia" w:ascii="黑体" w:hAnsi="黑体" w:eastAsia="黑体" w:cs="黑体"/>
          <w:bCs/>
          <w:sz w:val="32"/>
          <w:szCs w:val="40"/>
          <w:shd w:val="clear" w:color="auto" w:fill="FFFFFF"/>
        </w:rPr>
      </w:pPr>
      <w:r>
        <w:rPr>
          <w:rFonts w:hint="eastAsia" w:ascii="黑体" w:hAnsi="黑体" w:eastAsia="黑体" w:cs="黑体"/>
          <w:bCs/>
          <w:sz w:val="32"/>
          <w:szCs w:val="40"/>
          <w:shd w:val="clear" w:color="auto" w:fill="FFFFFF"/>
        </w:rPr>
        <w:t>第二章  组织机构</w:t>
      </w:r>
    </w:p>
    <w:p w14:paraId="093A9B19">
      <w:pPr>
        <w:spacing w:line="600" w:lineRule="exact"/>
        <w:ind w:firstLine="643" w:firstLineChars="200"/>
        <w:rPr>
          <w:rFonts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第四条</w:t>
      </w:r>
      <w:r>
        <w:rPr>
          <w:rFonts w:hint="eastAsia" w:ascii="仿宋_GB2312" w:hAnsi="仿宋_GB2312" w:eastAsia="仿宋_GB2312" w:cs="仿宋_GB2312"/>
          <w:bCs/>
          <w:sz w:val="32"/>
          <w:szCs w:val="40"/>
          <w:shd w:val="clear" w:color="auto" w:fill="FFFFFF"/>
        </w:rPr>
        <w:t>　学术道德委员会人数原则上为不少于</w:t>
      </w:r>
      <w:r>
        <w:rPr>
          <w:rFonts w:ascii="仿宋_GB2312" w:hAnsi="仿宋_GB2312" w:eastAsia="仿宋_GB2312" w:cs="仿宋_GB2312"/>
          <w:bCs/>
          <w:sz w:val="32"/>
          <w:szCs w:val="40"/>
          <w:shd w:val="clear" w:color="auto" w:fill="FFFFFF"/>
        </w:rPr>
        <w:t>9</w:t>
      </w:r>
      <w:r>
        <w:rPr>
          <w:rFonts w:hint="eastAsia" w:ascii="仿宋_GB2312" w:hAnsi="仿宋_GB2312" w:eastAsia="仿宋_GB2312" w:cs="仿宋_GB2312"/>
          <w:bCs/>
          <w:sz w:val="32"/>
          <w:szCs w:val="40"/>
          <w:shd w:val="clear" w:color="auto" w:fill="FFFFFF"/>
        </w:rPr>
        <w:t>人的单数，设主任委员1人、副主任委员1人。</w:t>
      </w:r>
      <w:r>
        <w:rPr>
          <w:rFonts w:ascii="仿宋_GB2312" w:hAnsi="仿宋_GB2312" w:eastAsia="仿宋_GB2312" w:cs="仿宋_GB2312"/>
          <w:bCs/>
          <w:sz w:val="32"/>
          <w:szCs w:val="40"/>
          <w:shd w:val="clear" w:color="auto" w:fill="FFFFFF"/>
        </w:rPr>
        <w:t>主任委员由分管科研工作的副校长担任，副主任委员由</w:t>
      </w:r>
      <w:r>
        <w:rPr>
          <w:rFonts w:hint="eastAsia" w:ascii="仿宋_GB2312" w:hAnsi="仿宋_GB2312" w:eastAsia="仿宋_GB2312" w:cs="仿宋_GB2312"/>
          <w:bCs/>
          <w:sz w:val="32"/>
          <w:szCs w:val="40"/>
          <w:shd w:val="clear" w:color="auto" w:fill="FFFFFF"/>
        </w:rPr>
        <w:t>科研</w:t>
      </w:r>
      <w:r>
        <w:rPr>
          <w:rFonts w:ascii="仿宋_GB2312" w:hAnsi="仿宋_GB2312" w:eastAsia="仿宋_GB2312" w:cs="仿宋_GB2312"/>
          <w:bCs/>
          <w:sz w:val="32"/>
          <w:szCs w:val="40"/>
          <w:shd w:val="clear" w:color="auto" w:fill="FFFFFF"/>
        </w:rPr>
        <w:t>处</w:t>
      </w:r>
      <w:r>
        <w:rPr>
          <w:rFonts w:hint="eastAsia" w:ascii="仿宋_GB2312" w:hAnsi="仿宋_GB2312" w:eastAsia="仿宋_GB2312" w:cs="仿宋_GB2312"/>
          <w:bCs/>
          <w:sz w:val="32"/>
          <w:szCs w:val="40"/>
          <w:shd w:val="clear" w:color="auto" w:fill="FFFFFF"/>
        </w:rPr>
        <w:t>（学科建设与研究生管理办公室）</w:t>
      </w:r>
      <w:r>
        <w:rPr>
          <w:rFonts w:ascii="仿宋_GB2312" w:hAnsi="仿宋_GB2312" w:eastAsia="仿宋_GB2312" w:cs="仿宋_GB2312"/>
          <w:bCs/>
          <w:sz w:val="32"/>
          <w:szCs w:val="40"/>
          <w:shd w:val="clear" w:color="auto" w:fill="FFFFFF"/>
        </w:rPr>
        <w:t>负责人担任。</w:t>
      </w:r>
    </w:p>
    <w:p w14:paraId="22D5EC3F">
      <w:pPr>
        <w:spacing w:line="600" w:lineRule="exact"/>
        <w:ind w:firstLine="640" w:firstLineChars="200"/>
        <w:rPr>
          <w:rFonts w:hint="eastAsia" w:ascii="仿宋_GB2312" w:hAnsi="仿宋_GB2312" w:eastAsia="仿宋_GB2312" w:cs="仿宋_GB2312"/>
          <w:bCs/>
          <w:sz w:val="32"/>
          <w:szCs w:val="40"/>
          <w:shd w:val="clear" w:color="auto" w:fill="FFFFFF"/>
        </w:rPr>
      </w:pPr>
      <w:r>
        <w:rPr>
          <w:rFonts w:ascii="仿宋_GB2312" w:hAnsi="仿宋_GB2312" w:eastAsia="仿宋_GB2312" w:cs="仿宋_GB2312"/>
          <w:bCs/>
          <w:sz w:val="32"/>
          <w:szCs w:val="40"/>
          <w:shd w:val="clear" w:color="auto" w:fill="FFFFFF"/>
        </w:rPr>
        <w:t>委员</w:t>
      </w:r>
      <w:r>
        <w:rPr>
          <w:rFonts w:hint="eastAsia" w:ascii="仿宋_GB2312" w:hAnsi="仿宋_GB2312" w:eastAsia="仿宋_GB2312" w:cs="仿宋_GB2312"/>
          <w:bCs/>
          <w:sz w:val="32"/>
          <w:szCs w:val="40"/>
          <w:shd w:val="clear" w:color="auto" w:fill="FFFFFF"/>
        </w:rPr>
        <w:t>分为职务委员和专家委员两类：职务委员由分管校领导及学校相关职能部门负责人担任；专家委员由学术造诣高、为人正派、办事客观公正、热心学校管理与建设，并具备良好学术道德和履职能力的专家学者担任。</w:t>
      </w:r>
    </w:p>
    <w:p w14:paraId="7A14AA06">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全体委员由校学术委员会主任委员提名，经校学术委员会审议通过后正式聘任。</w:t>
      </w:r>
    </w:p>
    <w:p w14:paraId="066BFC81">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第五条</w:t>
      </w:r>
      <w:r>
        <w:rPr>
          <w:rFonts w:hint="eastAsia" w:ascii="仿宋_GB2312" w:hAnsi="仿宋_GB2312" w:eastAsia="仿宋_GB2312" w:cs="仿宋_GB2312"/>
          <w:bCs/>
          <w:sz w:val="32"/>
          <w:szCs w:val="40"/>
          <w:shd w:val="clear" w:color="auto" w:fill="FFFFFF"/>
        </w:rPr>
        <w:t>　学术道德委员会委员任期与校学术委员会委员相同，每届任期四年，连任原则上不超过两届。</w:t>
      </w:r>
    </w:p>
    <w:p w14:paraId="626D417C">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第六条</w:t>
      </w:r>
      <w:r>
        <w:rPr>
          <w:rFonts w:hint="eastAsia" w:ascii="仿宋_GB2312" w:hAnsi="仿宋_GB2312" w:eastAsia="仿宋_GB2312" w:cs="仿宋_GB2312"/>
          <w:bCs/>
          <w:sz w:val="32"/>
          <w:szCs w:val="40"/>
          <w:shd w:val="clear" w:color="auto" w:fill="FFFFFF"/>
        </w:rPr>
        <w:t xml:space="preserve">  学术道德委员会下设秘书处，挂靠科研处（学科建设与研究生管理办公室），负责本委员会日常工作。</w:t>
      </w:r>
    </w:p>
    <w:p w14:paraId="2F386D55">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第七条</w:t>
      </w:r>
      <w:r>
        <w:rPr>
          <w:rFonts w:hint="eastAsia" w:ascii="仿宋_GB2312" w:hAnsi="仿宋_GB2312" w:eastAsia="仿宋_GB2312" w:cs="仿宋_GB2312"/>
          <w:bCs/>
          <w:sz w:val="32"/>
          <w:szCs w:val="40"/>
          <w:shd w:val="clear" w:color="auto" w:fill="FFFFFF"/>
        </w:rPr>
        <w:t>　学术道德委员会委员在任期内有下列情形之一的，经校学术委员会讨论决定，可免除或者同意其辞去委员职务：</w:t>
      </w:r>
    </w:p>
    <w:p w14:paraId="41986EFB">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（一）主动申请辞去委员职务的；</w:t>
      </w:r>
    </w:p>
    <w:p w14:paraId="72EBA96D">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（二）因身体、年龄及职务变动等原因无法履行职责的；</w:t>
      </w:r>
    </w:p>
    <w:p w14:paraId="460FF1DB">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（三）怠于履行职责或者不履行委员义务的；</w:t>
      </w:r>
    </w:p>
    <w:p w14:paraId="05DD1504">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（四）有违法违纪、违反职业道德或学术不端行为的；</w:t>
      </w:r>
    </w:p>
    <w:p w14:paraId="7E53E8AD">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（五）因其他原因无法或不宜担任委员职务。</w:t>
      </w:r>
    </w:p>
    <w:p w14:paraId="5007B9B4">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 xml:space="preserve">第八条 </w:t>
      </w:r>
      <w:r>
        <w:rPr>
          <w:rFonts w:hint="eastAsia" w:ascii="仿宋_GB2312" w:hAnsi="仿宋_GB2312" w:eastAsia="仿宋_GB2312" w:cs="仿宋_GB2312"/>
          <w:bCs/>
          <w:sz w:val="32"/>
          <w:szCs w:val="40"/>
          <w:shd w:val="clear" w:color="auto" w:fill="FFFFFF"/>
        </w:rPr>
        <w:t>因上述原因出现的专家委员缺额如需增补，由学术道德委员会主任委员提名推荐，报校学术委员会审议通过。职务委员如因工作岗位调整发生变动，其委员资格自动终止，并由接任该岗位的人员自然递补继任。</w:t>
      </w:r>
    </w:p>
    <w:p w14:paraId="6A27DBB6">
      <w:pPr>
        <w:spacing w:line="600" w:lineRule="exact"/>
        <w:jc w:val="center"/>
        <w:rPr>
          <w:rFonts w:hint="eastAsia" w:ascii="黑体" w:hAnsi="黑体" w:eastAsia="黑体" w:cs="黑体"/>
          <w:bCs/>
          <w:sz w:val="32"/>
          <w:szCs w:val="40"/>
          <w:shd w:val="clear" w:color="auto" w:fill="FFFFFF"/>
        </w:rPr>
      </w:pPr>
      <w:r>
        <w:rPr>
          <w:rFonts w:hint="eastAsia" w:ascii="黑体" w:hAnsi="黑体" w:eastAsia="黑体" w:cs="黑体"/>
          <w:bCs/>
          <w:sz w:val="32"/>
          <w:szCs w:val="40"/>
          <w:shd w:val="clear" w:color="auto" w:fill="FFFFFF"/>
        </w:rPr>
        <w:t>第三章  职责权限</w:t>
      </w:r>
    </w:p>
    <w:p w14:paraId="0842C641">
      <w:pPr>
        <w:spacing w:line="60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sz w:val="32"/>
          <w:szCs w:val="40"/>
          <w:shd w:val="clear" w:color="auto" w:fill="FFFFFF"/>
        </w:rPr>
        <w:t xml:space="preserve">第九条  </w:t>
      </w:r>
      <w:r>
        <w:rPr>
          <w:rFonts w:hint="eastAsia" w:ascii="仿宋_GB2312" w:hAnsi="仿宋_GB2312" w:eastAsia="仿宋_GB2312" w:cs="仿宋_GB2312"/>
          <w:sz w:val="32"/>
          <w:szCs w:val="40"/>
        </w:rPr>
        <w:t>学术道德委员会主要工作职责：</w:t>
      </w:r>
    </w:p>
    <w:p w14:paraId="0E304291">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（一） 审议学术道德建设相关的制度文件和管理办法；</w:t>
      </w:r>
    </w:p>
    <w:p w14:paraId="1B274575">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（二） 对学术道德规范建设进行调研和咨询，提出学术道德建设规划和工作建议；</w:t>
      </w:r>
    </w:p>
    <w:p w14:paraId="5DDC729B">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（三） 宣传学术道德规范，督促和指导各单位学术道德建设和学风维护工作；</w:t>
      </w:r>
    </w:p>
    <w:p w14:paraId="0828DB65">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（四） 受理涉嫌学术不端及学术纠纷等事项的举报、投诉，组织调查并出具调查结果；</w:t>
      </w:r>
    </w:p>
    <w:p w14:paraId="133F4DE0">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（五） 进行年度工作报告，总结本委员会运行及履职情况，并向校学术委员会报备；</w:t>
      </w:r>
    </w:p>
    <w:p w14:paraId="6796F324">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（六） 完成校学术委员会委托的其他与学术道德相关的工作。</w:t>
      </w:r>
    </w:p>
    <w:p w14:paraId="2A6D7619">
      <w:pPr>
        <w:spacing w:line="60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sz w:val="32"/>
          <w:szCs w:val="40"/>
          <w:shd w:val="clear" w:color="auto" w:fill="FFFFFF"/>
        </w:rPr>
        <w:t xml:space="preserve">第十条  </w:t>
      </w:r>
      <w:r>
        <w:rPr>
          <w:rFonts w:hint="eastAsia" w:ascii="仿宋_GB2312" w:hAnsi="仿宋_GB2312" w:eastAsia="仿宋_GB2312" w:cs="仿宋_GB2312"/>
          <w:sz w:val="32"/>
          <w:szCs w:val="40"/>
        </w:rPr>
        <w:t>学术道德委员会委员享有以下权利：</w:t>
      </w:r>
    </w:p>
    <w:p w14:paraId="7FCF490C">
      <w:pPr>
        <w:spacing w:line="600" w:lineRule="exact"/>
        <w:ind w:firstLine="42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（一）知悉与学校科研诚信、学风建设等事务相关的各项管理制度、信息等；</w:t>
      </w:r>
    </w:p>
    <w:p w14:paraId="464B4974">
      <w:pPr>
        <w:spacing w:line="600" w:lineRule="exact"/>
        <w:ind w:firstLine="42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（二）在学术道德委员会会议中自由、独立地发表意见，讨论、审议和表决各项决议；</w:t>
      </w:r>
    </w:p>
    <w:p w14:paraId="1CC9B162">
      <w:pPr>
        <w:spacing w:line="600" w:lineRule="exact"/>
        <w:ind w:firstLine="420"/>
        <w:rPr>
          <w:rFonts w:ascii="仿宋_GB2312" w:hAnsi="仿宋_GB2312" w:eastAsia="仿宋_GB2312" w:cs="仿宋_GB2312"/>
          <w:sz w:val="32"/>
          <w:szCs w:val="40"/>
        </w:rPr>
      </w:pPr>
      <w:r>
        <w:rPr>
          <w:rFonts w:hint="eastAsia" w:ascii="仿宋_GB2312" w:hAnsi="仿宋_GB2312" w:eastAsia="仿宋_GB2312" w:cs="仿宋_GB2312"/>
          <w:sz w:val="32"/>
          <w:szCs w:val="40"/>
        </w:rPr>
        <w:t>（三）对科研诚信管理、学风和学术道德建设工作提出意见建议，并实施监督。</w:t>
      </w:r>
    </w:p>
    <w:p w14:paraId="2B339E7A">
      <w:pPr>
        <w:spacing w:line="60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第十一条</w:t>
      </w:r>
      <w:r>
        <w:rPr>
          <w:rFonts w:hint="eastAsia" w:ascii="仿宋_GB2312" w:hAnsi="仿宋_GB2312" w:eastAsia="仿宋_GB2312" w:cs="仿宋_GB2312"/>
          <w:b/>
          <w:sz w:val="32"/>
          <w:szCs w:val="40"/>
          <w:shd w:val="clear" w:color="auto" w:fill="FFFFFF"/>
        </w:rPr>
        <w:t xml:space="preserve">  </w:t>
      </w:r>
      <w:r>
        <w:rPr>
          <w:rFonts w:hint="eastAsia" w:ascii="仿宋_GB2312" w:hAnsi="仿宋_GB2312" w:eastAsia="仿宋_GB2312" w:cs="仿宋_GB2312"/>
          <w:sz w:val="32"/>
          <w:szCs w:val="40"/>
        </w:rPr>
        <w:t>学术道德委员会委员须履行以下义务：</w:t>
      </w:r>
    </w:p>
    <w:p w14:paraId="38119983">
      <w:pPr>
        <w:spacing w:line="60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（一）遵守国家宪法、法律和法规，遵守学术规范、恪守学术道德；</w:t>
      </w:r>
    </w:p>
    <w:p w14:paraId="7CD3B9EB">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 xml:space="preserve">（二）遵守学术道德委员会章程，坚守学术专业判断，公正履行职责； </w:t>
      </w:r>
    </w:p>
    <w:p w14:paraId="5F237D21">
      <w:pPr>
        <w:spacing w:line="60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（三）认真学习科研诚信、学术道德相关法律法规与校内制度，积极参加履职培训；</w:t>
      </w:r>
    </w:p>
    <w:p w14:paraId="665B1782">
      <w:pPr>
        <w:spacing w:line="60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（四）勤勉尽职，按时参加学术道德委员会会议。</w:t>
      </w:r>
    </w:p>
    <w:p w14:paraId="2781CD96">
      <w:pPr>
        <w:spacing w:line="60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（五）严格遵守保密规定和回避制度。</w:t>
      </w:r>
    </w:p>
    <w:p w14:paraId="5FDA89B0">
      <w:pPr>
        <w:spacing w:line="600" w:lineRule="exact"/>
        <w:jc w:val="center"/>
        <w:rPr>
          <w:rFonts w:hint="eastAsia" w:ascii="黑体" w:hAnsi="黑体" w:eastAsia="黑体" w:cs="黑体"/>
          <w:bCs/>
          <w:sz w:val="32"/>
          <w:szCs w:val="40"/>
          <w:shd w:val="clear" w:color="auto" w:fill="FFFFFF"/>
        </w:rPr>
      </w:pPr>
      <w:r>
        <w:rPr>
          <w:rFonts w:hint="eastAsia" w:ascii="黑体" w:hAnsi="黑体" w:eastAsia="黑体" w:cs="黑体"/>
          <w:bCs/>
          <w:sz w:val="32"/>
          <w:szCs w:val="40"/>
          <w:shd w:val="clear" w:color="auto" w:fill="FFFFFF"/>
        </w:rPr>
        <w:t>第四章  议事规则</w:t>
      </w:r>
    </w:p>
    <w:p w14:paraId="758C1A2B">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第十二条</w:t>
      </w:r>
      <w:r>
        <w:rPr>
          <w:rFonts w:hint="eastAsia" w:ascii="仿宋_GB2312" w:hAnsi="仿宋_GB2312" w:eastAsia="仿宋_GB2312" w:cs="仿宋_GB2312"/>
          <w:bCs/>
          <w:sz w:val="32"/>
          <w:szCs w:val="40"/>
          <w:shd w:val="clear" w:color="auto" w:fill="FFFFFF"/>
        </w:rPr>
        <w:t xml:space="preserve">  学术道德委员会实行例会制，每年至少举行1次全体委员会议。全体会议有2/3及以上的委员出席方可举行，应由主任委员主持，若主任委员因故不能出席会议的，由主任委员委托的副主任委员主持。</w:t>
      </w:r>
    </w:p>
    <w:p w14:paraId="54085981">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讨论或决定重大事宜时，主任委员可临时召集全体会议；也可根据工作需要，不定期举行主任委员会议或部分委员参加的专题会议。</w:t>
      </w:r>
    </w:p>
    <w:p w14:paraId="02E705B1">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第十三条</w:t>
      </w:r>
      <w:r>
        <w:rPr>
          <w:rFonts w:hint="eastAsia" w:ascii="仿宋_GB2312" w:hAnsi="仿宋_GB2312" w:eastAsia="仿宋_GB2312" w:cs="仿宋_GB2312"/>
          <w:bCs/>
          <w:sz w:val="32"/>
          <w:szCs w:val="40"/>
          <w:shd w:val="clear" w:color="auto" w:fill="FFFFFF"/>
        </w:rPr>
        <w:t xml:space="preserve">  学术道德委员会全体会议对所受理立案的调查结论、评判意见，以及本章程的修改等事项的表决，</w:t>
      </w:r>
      <w:r>
        <w:rPr>
          <w:rFonts w:hint="eastAsia" w:ascii="仿宋_GB2312" w:hAnsi="仿宋_GB2312" w:eastAsia="仿宋_GB2312" w:cs="仿宋_GB2312"/>
          <w:sz w:val="32"/>
          <w:szCs w:val="40"/>
        </w:rPr>
        <w:t>由出席会议委员人数的2/3及以上通过方为有效。</w:t>
      </w:r>
    </w:p>
    <w:p w14:paraId="7D8429CA">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第十四条</w:t>
      </w:r>
      <w:r>
        <w:rPr>
          <w:rFonts w:hint="eastAsia" w:ascii="仿宋_GB2312" w:hAnsi="仿宋_GB2312" w:eastAsia="仿宋_GB2312" w:cs="仿宋_GB2312"/>
          <w:bCs/>
          <w:sz w:val="32"/>
          <w:szCs w:val="40"/>
          <w:shd w:val="clear" w:color="auto" w:fill="FFFFFF"/>
        </w:rPr>
        <w:t xml:space="preserve">  会议表决议案采用投票方式、举手方式或者其他方式，由会议主持人决定。</w:t>
      </w:r>
    </w:p>
    <w:p w14:paraId="5D248D69">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对所受理立案的调查结果，以及本章程的修改等重大事项，采用投票方式表决。</w:t>
      </w:r>
    </w:p>
    <w:p w14:paraId="6041AF1E">
      <w:pPr>
        <w:spacing w:line="600" w:lineRule="exact"/>
        <w:ind w:firstLine="640"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Cs/>
          <w:sz w:val="32"/>
          <w:szCs w:val="40"/>
          <w:shd w:val="clear" w:color="auto" w:fill="FFFFFF"/>
        </w:rPr>
        <w:t>对须紧急审议的事项，经学术道德委员会主任委员同意，可采用通讯方式进行讨论或表决。</w:t>
      </w:r>
    </w:p>
    <w:p w14:paraId="6E0CB674">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第十五条</w:t>
      </w:r>
      <w:r>
        <w:rPr>
          <w:rFonts w:hint="eastAsia" w:ascii="仿宋_GB2312" w:hAnsi="仿宋_GB2312" w:eastAsia="仿宋_GB2312" w:cs="仿宋_GB2312"/>
          <w:bCs/>
          <w:sz w:val="32"/>
          <w:szCs w:val="40"/>
          <w:shd w:val="clear" w:color="auto" w:fill="FFFFFF"/>
        </w:rPr>
        <w:t xml:space="preserve">  对会议表决未通过的议案，可由议案提出者补充完善相关证据材料后，择期另行召开全体会议进行复议及表决。</w:t>
      </w:r>
    </w:p>
    <w:p w14:paraId="780E3FA8">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第十六条</w:t>
      </w:r>
      <w:r>
        <w:rPr>
          <w:rFonts w:hint="eastAsia" w:ascii="仿宋_GB2312" w:hAnsi="仿宋_GB2312" w:eastAsia="仿宋_GB2312" w:cs="仿宋_GB2312"/>
          <w:bCs/>
          <w:sz w:val="32"/>
          <w:szCs w:val="40"/>
          <w:shd w:val="clear" w:color="auto" w:fill="FFFFFF"/>
        </w:rPr>
        <w:t xml:space="preserve">  学术道德委员会委员在讨论、调查、审议与本人、亲属及其研究团队有利害关系的事项，或者有其他可能影响公正结果的情形时，应当回避。</w:t>
      </w:r>
    </w:p>
    <w:p w14:paraId="6E613286">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第十七条</w:t>
      </w:r>
      <w:r>
        <w:rPr>
          <w:rFonts w:hint="eastAsia" w:ascii="仿宋_GB2312" w:hAnsi="仿宋_GB2312" w:eastAsia="仿宋_GB2312" w:cs="仿宋_GB2312"/>
          <w:bCs/>
          <w:sz w:val="32"/>
          <w:szCs w:val="40"/>
          <w:shd w:val="clear" w:color="auto" w:fill="FFFFFF"/>
        </w:rPr>
        <w:t xml:space="preserve">  学术道德委员会委员须对本委员会会议上讨论的不公开事项严格保密，任何人均不得私自泄露会议讨论内容和调查评判结果。</w:t>
      </w:r>
    </w:p>
    <w:p w14:paraId="220F668D">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第十八条</w:t>
      </w:r>
      <w:r>
        <w:rPr>
          <w:rFonts w:hint="eastAsia" w:ascii="仿宋_GB2312" w:hAnsi="仿宋_GB2312" w:eastAsia="仿宋_GB2312" w:cs="仿宋_GB2312"/>
          <w:bCs/>
          <w:sz w:val="32"/>
          <w:szCs w:val="40"/>
          <w:shd w:val="clear" w:color="auto" w:fill="FFFFFF"/>
        </w:rPr>
        <w:t xml:space="preserve">  学术道德委员会委员应按时参加本委员会相关会议，因故不能出席者应向主任或副主任委员请假。</w:t>
      </w:r>
    </w:p>
    <w:p w14:paraId="5C0D47C1">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 xml:space="preserve">第十九条  </w:t>
      </w:r>
      <w:r>
        <w:rPr>
          <w:rFonts w:hint="eastAsia" w:ascii="仿宋_GB2312" w:hAnsi="仿宋_GB2312" w:eastAsia="仿宋_GB2312" w:cs="仿宋_GB2312"/>
          <w:bCs/>
          <w:sz w:val="32"/>
          <w:szCs w:val="40"/>
          <w:shd w:val="clear" w:color="auto" w:fill="FFFFFF"/>
        </w:rPr>
        <w:t>学术不端行为举报受理与认定程序（包括复议程序）按照相关文件规定执行。</w:t>
      </w:r>
    </w:p>
    <w:p w14:paraId="2968A091">
      <w:pPr>
        <w:spacing w:line="600" w:lineRule="exact"/>
        <w:jc w:val="center"/>
        <w:rPr>
          <w:rFonts w:hint="eastAsia" w:ascii="黑体" w:hAnsi="黑体" w:eastAsia="黑体" w:cs="黑体"/>
          <w:bCs/>
          <w:sz w:val="32"/>
          <w:szCs w:val="40"/>
          <w:shd w:val="clear" w:color="auto" w:fill="FFFFFF"/>
        </w:rPr>
      </w:pPr>
      <w:r>
        <w:rPr>
          <w:rFonts w:hint="eastAsia" w:ascii="黑体" w:hAnsi="黑体" w:eastAsia="黑体" w:cs="黑体"/>
          <w:bCs/>
          <w:sz w:val="32"/>
          <w:szCs w:val="40"/>
          <w:shd w:val="clear" w:color="auto" w:fill="FFFFFF"/>
        </w:rPr>
        <w:t>第五章  附  则</w:t>
      </w:r>
    </w:p>
    <w:p w14:paraId="07B67EA6">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 xml:space="preserve">第二十条  </w:t>
      </w:r>
      <w:r>
        <w:rPr>
          <w:rFonts w:hint="eastAsia" w:ascii="仿宋_GB2312" w:hAnsi="仿宋_GB2312" w:eastAsia="仿宋_GB2312" w:cs="仿宋_GB2312"/>
          <w:bCs/>
          <w:sz w:val="32"/>
          <w:szCs w:val="40"/>
          <w:shd w:val="clear" w:color="auto" w:fill="FFFFFF"/>
        </w:rPr>
        <w:t>本章程经校学术委员会审议通过后生效。</w:t>
      </w:r>
    </w:p>
    <w:p w14:paraId="348CC55F">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第二十一条</w:t>
      </w:r>
      <w:r>
        <w:rPr>
          <w:rFonts w:hint="eastAsia" w:ascii="仿宋_GB2312" w:hAnsi="仿宋_GB2312" w:eastAsia="仿宋_GB2312" w:cs="仿宋_GB2312"/>
          <w:bCs/>
          <w:sz w:val="32"/>
          <w:szCs w:val="40"/>
          <w:shd w:val="clear" w:color="auto" w:fill="FFFFFF"/>
        </w:rPr>
        <w:t xml:space="preserve">  本章程由学术道德委员会负责解释。</w:t>
      </w:r>
    </w:p>
    <w:p w14:paraId="0EA4EC41">
      <w:pPr>
        <w:spacing w:line="600" w:lineRule="exact"/>
        <w:ind w:firstLine="643" w:firstLineChars="200"/>
        <w:rPr>
          <w:rFonts w:hint="eastAsia" w:ascii="仿宋_GB2312" w:hAnsi="仿宋_GB2312" w:eastAsia="仿宋_GB2312" w:cs="仿宋_GB2312"/>
          <w:bCs/>
          <w:sz w:val="32"/>
          <w:szCs w:val="40"/>
          <w:shd w:val="clear" w:color="auto" w:fill="FFFFFF"/>
        </w:rPr>
      </w:pPr>
      <w:r>
        <w:rPr>
          <w:rFonts w:hint="eastAsia" w:ascii="仿宋_GB2312" w:hAnsi="仿宋_GB2312" w:eastAsia="仿宋_GB2312" w:cs="仿宋_GB2312"/>
          <w:b/>
          <w:sz w:val="32"/>
          <w:szCs w:val="40"/>
          <w:shd w:val="clear" w:color="auto" w:fill="FFFFFF"/>
        </w:rPr>
        <w:t>第二十二条</w:t>
      </w:r>
      <w:r>
        <w:rPr>
          <w:rFonts w:hint="eastAsia" w:ascii="仿宋_GB2312" w:hAnsi="仿宋_GB2312" w:eastAsia="仿宋_GB2312" w:cs="仿宋_GB2312"/>
          <w:bCs/>
          <w:sz w:val="32"/>
          <w:szCs w:val="40"/>
          <w:shd w:val="clear" w:color="auto" w:fill="FFFFFF"/>
        </w:rPr>
        <w:t xml:space="preserve">  本章程自公布之日起施行。</w:t>
      </w:r>
    </w:p>
    <w:p w14:paraId="34BA7AEF">
      <w:pPr>
        <w:spacing w:line="600" w:lineRule="exact"/>
        <w:ind w:firstLine="420" w:firstLineChars="200"/>
        <w:rPr>
          <w:rFonts w:hint="eastAsia" w:ascii="仿宋_GB2312" w:hAnsi="仿宋_GB2312" w:eastAsia="仿宋_GB2312" w:cs="仿宋_GB2312"/>
          <w:bCs/>
          <w:shd w:val="clear" w:color="auto" w:fill="FFFFFF"/>
        </w:rPr>
      </w:pPr>
    </w:p>
    <w:p w14:paraId="7D4B1178">
      <w:pPr>
        <w:spacing w:line="600" w:lineRule="exact"/>
        <w:ind w:firstLine="420" w:firstLineChars="200"/>
        <w:rPr>
          <w:rFonts w:hint="eastAsia" w:ascii="仿宋_GB2312" w:hAnsi="仿宋_GB2312" w:eastAsia="仿宋_GB2312" w:cs="仿宋_GB2312"/>
          <w:bCs/>
          <w:shd w:val="clear" w:color="auto" w:fill="FFFFFF"/>
        </w:rPr>
      </w:pPr>
    </w:p>
    <w:p w14:paraId="69D6BFF9">
      <w:pPr>
        <w:spacing w:line="600" w:lineRule="exact"/>
        <w:ind w:firstLine="420" w:firstLineChars="200"/>
        <w:rPr>
          <w:rFonts w:hint="eastAsia" w:ascii="仿宋_GB2312" w:hAnsi="仿宋_GB2312" w:eastAsia="仿宋_GB2312" w:cs="仿宋_GB2312"/>
          <w:bCs/>
          <w:shd w:val="clear" w:color="auto" w:fill="FFFFFF"/>
        </w:rPr>
      </w:pPr>
    </w:p>
    <w:p w14:paraId="7D15B04A">
      <w:pPr>
        <w:spacing w:line="600" w:lineRule="exact"/>
        <w:ind w:firstLine="420" w:firstLineChars="200"/>
        <w:rPr>
          <w:rFonts w:hint="eastAsia" w:ascii="仿宋_GB2312" w:hAnsi="仿宋_GB2312" w:eastAsia="仿宋_GB2312" w:cs="仿宋_GB2312"/>
          <w:bCs/>
          <w:shd w:val="clear" w:color="auto" w:fill="FFFFFF"/>
        </w:rPr>
      </w:pPr>
    </w:p>
    <w:p w14:paraId="696E7F29">
      <w:pPr>
        <w:spacing w:line="600" w:lineRule="exact"/>
        <w:ind w:firstLine="420" w:firstLineChars="200"/>
        <w:rPr>
          <w:rFonts w:hint="eastAsia" w:ascii="仿宋_GB2312" w:hAnsi="仿宋_GB2312" w:eastAsia="仿宋_GB2312" w:cs="仿宋_GB2312"/>
          <w:bCs/>
          <w:shd w:val="clear" w:color="auto" w:fill="FFFFFF"/>
        </w:rPr>
      </w:pPr>
    </w:p>
    <w:p w14:paraId="7777B980">
      <w:pPr>
        <w:spacing w:line="600" w:lineRule="exact"/>
        <w:ind w:firstLine="420" w:firstLineChars="200"/>
        <w:rPr>
          <w:rFonts w:hint="eastAsia" w:ascii="仿宋_GB2312" w:hAnsi="仿宋_GB2312" w:eastAsia="仿宋_GB2312" w:cs="仿宋_GB2312"/>
          <w:bCs/>
          <w:shd w:val="clear" w:color="auto" w:fill="FFFFFF"/>
        </w:rPr>
      </w:pPr>
    </w:p>
    <w:tbl>
      <w:tblPr>
        <w:tblStyle w:val="28"/>
        <w:tblpPr w:leftFromText="180" w:rightFromText="180" w:vertAnchor="text" w:horzAnchor="page" w:tblpX="1686" w:tblpY="1282"/>
        <w:tblOverlap w:val="never"/>
        <w:tblW w:w="0" w:type="auto"/>
        <w:tblCaption w:val="Table56uv"/>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0"/>
      </w:tblGrid>
      <w:tr w14:paraId="2775C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9030" w:type="dxa"/>
            <w:tcBorders>
              <w:top w:val="single" w:color="auto" w:sz="4" w:space="0"/>
              <w:left w:val="nil"/>
              <w:bottom w:val="single" w:color="auto" w:sz="12" w:space="0"/>
              <w:right w:val="nil"/>
            </w:tcBorders>
            <w:noWrap w:val="0"/>
            <w:vAlign w:val="top"/>
          </w:tcPr>
          <w:p w14:paraId="3955AD9B">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温州</w:t>
            </w:r>
            <w:r>
              <w:rPr>
                <w:rFonts w:hint="eastAsia" w:ascii="仿宋_GB2312" w:hAnsi="仿宋_GB2312" w:eastAsia="仿宋_GB2312" w:cs="仿宋_GB2312"/>
                <w:sz w:val="32"/>
                <w:szCs w:val="32"/>
                <w:lang w:val="en-US" w:eastAsia="zh-CN"/>
              </w:rPr>
              <w:t xml:space="preserve">理工学院学术委员会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日印发</w:t>
            </w:r>
          </w:p>
        </w:tc>
      </w:tr>
    </w:tbl>
    <w:p w14:paraId="4FB0B324">
      <w:pPr>
        <w:spacing w:line="600" w:lineRule="exact"/>
        <w:rPr>
          <w:rFonts w:hint="eastAsia"/>
        </w:rPr>
      </w:pPr>
    </w:p>
    <w:sectPr>
      <w:type w:val="continuous"/>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2AA3D">
    <w:pPr>
      <w:pStyle w:val="17"/>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18633">
                          <w:pPr>
                            <w:pStyle w:val="17"/>
                            <w:rPr>
                              <w:rFonts w:hint="default" w:ascii="Times New Roman" w:hAnsi="Times New Roman" w:cs="Times New Roman"/>
                              <w:sz w:val="28"/>
                              <w:szCs w:val="36"/>
                            </w:rPr>
                          </w:pPr>
                          <w:r>
                            <w:rPr>
                              <w:rFonts w:hint="default" w:ascii="Times New Roman" w:hAnsi="Times New Roman" w:cs="Times New Roman"/>
                              <w:sz w:val="28"/>
                              <w:szCs w:val="36"/>
                            </w:rPr>
                            <w:t xml:space="preserve">— </w:t>
                          </w:r>
                          <w:r>
                            <w:rPr>
                              <w:rFonts w:hint="default" w:ascii="Times New Roman" w:hAnsi="Times New Roman" w:cs="Times New Roman"/>
                              <w:sz w:val="28"/>
                              <w:szCs w:val="36"/>
                            </w:rPr>
                            <w:fldChar w:fldCharType="begin"/>
                          </w:r>
                          <w:r>
                            <w:rPr>
                              <w:rFonts w:hint="default" w:ascii="Times New Roman" w:hAnsi="Times New Roman" w:cs="Times New Roman"/>
                              <w:sz w:val="28"/>
                              <w:szCs w:val="36"/>
                            </w:rPr>
                            <w:instrText xml:space="preserve"> PAGE  \* MERGEFORMAT </w:instrText>
                          </w:r>
                          <w:r>
                            <w:rPr>
                              <w:rFonts w:hint="default" w:ascii="Times New Roman" w:hAnsi="Times New Roman" w:cs="Times New Roman"/>
                              <w:sz w:val="28"/>
                              <w:szCs w:val="36"/>
                            </w:rPr>
                            <w:fldChar w:fldCharType="separate"/>
                          </w:r>
                          <w:r>
                            <w:rPr>
                              <w:rFonts w:hint="default" w:ascii="Times New Roman" w:hAnsi="Times New Roman" w:cs="Times New Roman"/>
                              <w:sz w:val="28"/>
                              <w:szCs w:val="36"/>
                            </w:rPr>
                            <w:t>1</w:t>
                          </w:r>
                          <w:r>
                            <w:rPr>
                              <w:rFonts w:hint="default" w:ascii="Times New Roman" w:hAnsi="Times New Roman" w:cs="Times New Roman"/>
                              <w:sz w:val="28"/>
                              <w:szCs w:val="36"/>
                            </w:rPr>
                            <w:fldChar w:fldCharType="end"/>
                          </w:r>
                          <w:r>
                            <w:rPr>
                              <w:rFonts w:hint="default" w:ascii="Times New Roman" w:hAnsi="Times New Roman" w:cs="Times New Roman"/>
                              <w:sz w:val="28"/>
                              <w:szCs w:val="36"/>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AE18633">
                    <w:pPr>
                      <w:pStyle w:val="17"/>
                      <w:rPr>
                        <w:rFonts w:hint="default" w:ascii="Times New Roman" w:hAnsi="Times New Roman" w:cs="Times New Roman"/>
                        <w:sz w:val="28"/>
                        <w:szCs w:val="36"/>
                      </w:rPr>
                    </w:pPr>
                    <w:r>
                      <w:rPr>
                        <w:rFonts w:hint="default" w:ascii="Times New Roman" w:hAnsi="Times New Roman" w:cs="Times New Roman"/>
                        <w:sz w:val="28"/>
                        <w:szCs w:val="36"/>
                      </w:rPr>
                      <w:t xml:space="preserve">— </w:t>
                    </w:r>
                    <w:r>
                      <w:rPr>
                        <w:rFonts w:hint="default" w:ascii="Times New Roman" w:hAnsi="Times New Roman" w:cs="Times New Roman"/>
                        <w:sz w:val="28"/>
                        <w:szCs w:val="36"/>
                      </w:rPr>
                      <w:fldChar w:fldCharType="begin"/>
                    </w:r>
                    <w:r>
                      <w:rPr>
                        <w:rFonts w:hint="default" w:ascii="Times New Roman" w:hAnsi="Times New Roman" w:cs="Times New Roman"/>
                        <w:sz w:val="28"/>
                        <w:szCs w:val="36"/>
                      </w:rPr>
                      <w:instrText xml:space="preserve"> PAGE  \* MERGEFORMAT </w:instrText>
                    </w:r>
                    <w:r>
                      <w:rPr>
                        <w:rFonts w:hint="default" w:ascii="Times New Roman" w:hAnsi="Times New Roman" w:cs="Times New Roman"/>
                        <w:sz w:val="28"/>
                        <w:szCs w:val="36"/>
                      </w:rPr>
                      <w:fldChar w:fldCharType="separate"/>
                    </w:r>
                    <w:r>
                      <w:rPr>
                        <w:rFonts w:hint="default" w:ascii="Times New Roman" w:hAnsi="Times New Roman" w:cs="Times New Roman"/>
                        <w:sz w:val="28"/>
                        <w:szCs w:val="36"/>
                      </w:rPr>
                      <w:t>1</w:t>
                    </w:r>
                    <w:r>
                      <w:rPr>
                        <w:rFonts w:hint="default" w:ascii="Times New Roman" w:hAnsi="Times New Roman" w:cs="Times New Roman"/>
                        <w:sz w:val="28"/>
                        <w:szCs w:val="36"/>
                      </w:rPr>
                      <w:fldChar w:fldCharType="end"/>
                    </w:r>
                    <w:r>
                      <w:rPr>
                        <w:rFonts w:hint="default" w:ascii="Times New Roman" w:hAnsi="Times New Roman" w:cs="Times New Roman"/>
                        <w:sz w:val="28"/>
                        <w:szCs w:val="36"/>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dit="readOnly" w:enforcement="1" w:cryptProviderType="rsaFull" w:cryptAlgorithmClass="hash" w:cryptAlgorithmType="typeAny" w:cryptAlgorithmSid="4" w:cryptSpinCount="0" w:hash="oK9uOwc3yo1ccSRl0blSCK/5RbU=" w:salt="D3KOtpjtCPMcdPQo9i771A=="/>
  <w:defaultTabStop w:val="420"/>
  <w:drawingGridHorizontalSpacing w:val="0"/>
  <w:drawingGridVerticalSpacing w:val="312"/>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B360B7"/>
    <w:rsid w:val="36CD7C84"/>
    <w:rsid w:val="37471F41"/>
    <w:rsid w:val="4F685245"/>
    <w:rsid w:val="64ED7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8"/>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2"/>
    <w:unhideWhenUsed/>
    <w:qFormat/>
    <w:uiPriority w:val="9"/>
    <w:pPr>
      <w:keepNext/>
      <w:keepLines/>
      <w:spacing w:before="320" w:after="200"/>
      <w:outlineLvl w:val="8"/>
    </w:pPr>
    <w:rPr>
      <w:rFonts w:ascii="Arial" w:hAnsi="Arial" w:eastAsia="Arial" w:cs="Arial"/>
      <w:i/>
      <w:iCs/>
      <w:sz w:val="21"/>
      <w:szCs w:val="21"/>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874CB"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0"/>
    <w:semiHidden/>
    <w:unhideWhenUsed/>
    <w:qFormat/>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basedOn w:val="28"/>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endnote reference"/>
    <w:basedOn w:val="30"/>
    <w:semiHidden/>
    <w:unhideWhenUsed/>
    <w:qFormat/>
    <w:uiPriority w:val="99"/>
    <w:rPr>
      <w:vertAlign w:val="superscript"/>
    </w:rPr>
  </w:style>
  <w:style w:type="character" w:styleId="32">
    <w:name w:val="Hyperlink"/>
    <w:unhideWhenUsed/>
    <w:qFormat/>
    <w:uiPriority w:val="99"/>
    <w:rPr>
      <w:color w:val="0026E5" w:themeColor="hyperlink"/>
      <w:u w:val="single"/>
      <w14:textFill>
        <w14:solidFill>
          <w14:schemeClr w14:val="hlink"/>
        </w14:solidFill>
      </w14:textFill>
    </w:rPr>
  </w:style>
  <w:style w:type="character" w:styleId="33">
    <w:name w:val="footnote reference"/>
    <w:basedOn w:val="30"/>
    <w:unhideWhenUsed/>
    <w:qFormat/>
    <w:uiPriority w:val="99"/>
    <w:rPr>
      <w:vertAlign w:val="superscript"/>
    </w:rPr>
  </w:style>
  <w:style w:type="character" w:customStyle="1" w:styleId="34">
    <w:name w:val="Heading 1 Char"/>
    <w:basedOn w:val="30"/>
    <w:link w:val="2"/>
    <w:qFormat/>
    <w:uiPriority w:val="9"/>
    <w:rPr>
      <w:rFonts w:ascii="Arial" w:hAnsi="Arial" w:eastAsia="Arial" w:cs="Arial"/>
      <w:sz w:val="40"/>
      <w:szCs w:val="40"/>
    </w:rPr>
  </w:style>
  <w:style w:type="character" w:customStyle="1" w:styleId="35">
    <w:name w:val="Heading 2 Char"/>
    <w:basedOn w:val="30"/>
    <w:link w:val="3"/>
    <w:qFormat/>
    <w:uiPriority w:val="9"/>
    <w:rPr>
      <w:rFonts w:ascii="Arial" w:hAnsi="Arial" w:eastAsia="Arial" w:cs="Arial"/>
      <w:sz w:val="34"/>
    </w:rPr>
  </w:style>
  <w:style w:type="character" w:customStyle="1" w:styleId="36">
    <w:name w:val="Heading 3 Char"/>
    <w:basedOn w:val="30"/>
    <w:link w:val="4"/>
    <w:qFormat/>
    <w:uiPriority w:val="9"/>
    <w:rPr>
      <w:rFonts w:ascii="Arial" w:hAnsi="Arial" w:eastAsia="Arial" w:cs="Arial"/>
      <w:sz w:val="30"/>
      <w:szCs w:val="30"/>
    </w:rPr>
  </w:style>
  <w:style w:type="character" w:customStyle="1" w:styleId="37">
    <w:name w:val="Heading 4 Char"/>
    <w:basedOn w:val="30"/>
    <w:link w:val="5"/>
    <w:qFormat/>
    <w:uiPriority w:val="9"/>
    <w:rPr>
      <w:rFonts w:ascii="Arial" w:hAnsi="Arial" w:eastAsia="Arial" w:cs="Arial"/>
      <w:b/>
      <w:bCs/>
      <w:sz w:val="26"/>
      <w:szCs w:val="26"/>
    </w:rPr>
  </w:style>
  <w:style w:type="character" w:customStyle="1" w:styleId="38">
    <w:name w:val="Heading 5 Char"/>
    <w:basedOn w:val="30"/>
    <w:link w:val="6"/>
    <w:qFormat/>
    <w:uiPriority w:val="9"/>
    <w:rPr>
      <w:rFonts w:ascii="Arial" w:hAnsi="Arial" w:eastAsia="Arial" w:cs="Arial"/>
      <w:b/>
      <w:bCs/>
      <w:sz w:val="24"/>
      <w:szCs w:val="24"/>
    </w:rPr>
  </w:style>
  <w:style w:type="character" w:customStyle="1" w:styleId="39">
    <w:name w:val="Heading 6 Char"/>
    <w:basedOn w:val="30"/>
    <w:link w:val="7"/>
    <w:qFormat/>
    <w:uiPriority w:val="9"/>
    <w:rPr>
      <w:rFonts w:ascii="Arial" w:hAnsi="Arial" w:eastAsia="Arial" w:cs="Arial"/>
      <w:b/>
      <w:bCs/>
      <w:sz w:val="22"/>
      <w:szCs w:val="22"/>
    </w:rPr>
  </w:style>
  <w:style w:type="character" w:customStyle="1" w:styleId="40">
    <w:name w:val="Heading 7 Char"/>
    <w:basedOn w:val="30"/>
    <w:link w:val="8"/>
    <w:qFormat/>
    <w:uiPriority w:val="9"/>
    <w:rPr>
      <w:rFonts w:ascii="Arial" w:hAnsi="Arial" w:eastAsia="Arial" w:cs="Arial"/>
      <w:b/>
      <w:bCs/>
      <w:i/>
      <w:iCs/>
      <w:sz w:val="22"/>
      <w:szCs w:val="22"/>
    </w:rPr>
  </w:style>
  <w:style w:type="character" w:customStyle="1" w:styleId="41">
    <w:name w:val="Heading 8 Char"/>
    <w:basedOn w:val="30"/>
    <w:link w:val="9"/>
    <w:qFormat/>
    <w:uiPriority w:val="9"/>
    <w:rPr>
      <w:rFonts w:ascii="Arial" w:hAnsi="Arial" w:eastAsia="Arial" w:cs="Arial"/>
      <w:i/>
      <w:iCs/>
      <w:sz w:val="22"/>
      <w:szCs w:val="22"/>
    </w:rPr>
  </w:style>
  <w:style w:type="character" w:customStyle="1" w:styleId="42">
    <w:name w:val="Heading 9 Char"/>
    <w:basedOn w:val="30"/>
    <w:link w:val="10"/>
    <w:qFormat/>
    <w:uiPriority w:val="9"/>
    <w:rPr>
      <w:rFonts w:ascii="Arial" w:hAnsi="Arial" w:eastAsia="Arial" w:cs="Arial"/>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5">
    <w:name w:val="Title Char"/>
    <w:basedOn w:val="30"/>
    <w:link w:val="27"/>
    <w:qFormat/>
    <w:uiPriority w:val="10"/>
    <w:rPr>
      <w:sz w:val="48"/>
      <w:szCs w:val="48"/>
    </w:rPr>
  </w:style>
  <w:style w:type="character" w:customStyle="1" w:styleId="46">
    <w:name w:val="Subtitle Char"/>
    <w:basedOn w:val="30"/>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basedOn w:val="30"/>
    <w:link w:val="18"/>
    <w:qFormat/>
    <w:uiPriority w:val="99"/>
  </w:style>
  <w:style w:type="character" w:customStyle="1" w:styleId="52">
    <w:name w:val="Footer Char"/>
    <w:basedOn w:val="30"/>
    <w:link w:val="17"/>
    <w:qFormat/>
    <w:uiPriority w:val="99"/>
  </w:style>
  <w:style w:type="character" w:customStyle="1" w:styleId="53">
    <w:name w:val="Caption Char"/>
    <w:link w:val="17"/>
    <w:qFormat/>
    <w:uiPriority w:val="99"/>
  </w:style>
  <w:style w:type="table" w:customStyle="1" w:styleId="54">
    <w:name w:val="Table Grid Light"/>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Plain Table 1"/>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Plain Table 2"/>
    <w:basedOn w:val="28"/>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Plain Table 3"/>
    <w:basedOn w:val="28"/>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4"/>
    <w:basedOn w:val="28"/>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5"/>
    <w:basedOn w:val="28"/>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Grid Table 1 Light"/>
    <w:basedOn w:val="28"/>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basedOn w:val="28"/>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62">
    <w:name w:val="Grid Table 1 Light - Accent 2"/>
    <w:basedOn w:val="28"/>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63">
    <w:name w:val="Grid Table 1 Light - Accent 3"/>
    <w:basedOn w:val="28"/>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64">
    <w:name w:val="Grid Table 1 Light - Accent 4"/>
    <w:basedOn w:val="28"/>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65">
    <w:name w:val="Grid Table 1 Light - Accent 5"/>
    <w:basedOn w:val="28"/>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66">
    <w:name w:val="Grid Table 1 Light - Accent 6"/>
    <w:basedOn w:val="28"/>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table" w:customStyle="1" w:styleId="67">
    <w:name w:val="Grid Table 2"/>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2 - Accent 1"/>
    <w:basedOn w:val="28"/>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69">
    <w:name w:val="Grid Table 2 - Accent 2"/>
    <w:basedOn w:val="28"/>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0">
    <w:name w:val="Grid Table 2 - Accent 3"/>
    <w:basedOn w:val="28"/>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1">
    <w:name w:val="Grid Table 2 - Accent 4"/>
    <w:basedOn w:val="28"/>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72">
    <w:name w:val="Grid Table 2 - Accent 5"/>
    <w:basedOn w:val="28"/>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73">
    <w:name w:val="Grid Table 2 - Accent 6"/>
    <w:basedOn w:val="28"/>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74">
    <w:name w:val="Grid Table 3"/>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3 - Accent 1"/>
    <w:basedOn w:val="28"/>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76">
    <w:name w:val="Grid Table 3 - Accent 2"/>
    <w:basedOn w:val="28"/>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7">
    <w:name w:val="Grid Table 3 - Accent 3"/>
    <w:basedOn w:val="28"/>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8">
    <w:name w:val="Grid Table 3 - Accent 4"/>
    <w:basedOn w:val="28"/>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79">
    <w:name w:val="Grid Table 3 - Accent 5"/>
    <w:basedOn w:val="28"/>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0">
    <w:name w:val="Grid Table 3 - Accent 6"/>
    <w:basedOn w:val="28"/>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1">
    <w:name w:val="Grid Table 4"/>
    <w:basedOn w:val="28"/>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4 - Accent 1"/>
    <w:basedOn w:val="28"/>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1Horz">
      <w:rPr>
        <w:rFonts w:ascii="Arial" w:hAnsi="Arial"/>
        <w:color w:val="404040"/>
        <w:sz w:val="22"/>
      </w:rPr>
      <w:tcPr>
        <w:shd w:val="clear" w:color="DBE3F4" w:themeColor="accent1" w:themeTint="32" w:fill="DBE3F4" w:themeFill="accent1" w:themeFillTint="32"/>
      </w:tcPr>
    </w:tblStylePr>
  </w:style>
  <w:style w:type="table" w:customStyle="1" w:styleId="83">
    <w:name w:val="Grid Table 4 - Accent 2"/>
    <w:basedOn w:val="28"/>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84">
    <w:name w:val="Grid Table 4 - Accent 3"/>
    <w:basedOn w:val="28"/>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85">
    <w:name w:val="Grid Table 4 - Accent 4"/>
    <w:basedOn w:val="28"/>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86">
    <w:name w:val="Grid Table 4 - Accent 5"/>
    <w:basedOn w:val="28"/>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7">
    <w:name w:val="Grid Table 4 - Accent 6"/>
    <w:basedOn w:val="28"/>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8">
    <w:name w:val="Grid Table 5 Dark"/>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5 Dark- Accent 1"/>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1Horz">
      <w:tcPr>
        <w:shd w:val="clear" w:color="ABBFE7" w:themeColor="accent1" w:themeTint="75" w:fill="ABBFE7" w:themeFill="accent1" w:themeFillTint="75"/>
      </w:tcPr>
    </w:tblStylePr>
  </w:style>
  <w:style w:type="table" w:customStyle="1" w:styleId="90">
    <w:name w:val="Grid Table 5 Dark - Accent 2"/>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1Horz">
      <w:tcPr>
        <w:shd w:val="clear" w:color="F7C59F" w:themeColor="accent2" w:themeTint="75" w:fill="F7C59F" w:themeFill="accent2" w:themeFillTint="75"/>
      </w:tcPr>
    </w:tblStylePr>
  </w:style>
  <w:style w:type="table" w:customStyle="1" w:styleId="91">
    <w:name w:val="Grid Table 5 Dark - Accent 3"/>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1Horz">
      <w:tcPr>
        <w:shd w:val="clear" w:color="FDE185" w:themeColor="accent3" w:themeTint="75" w:fill="FDE185" w:themeFill="accent3" w:themeFillTint="75"/>
      </w:tcPr>
    </w:tblStylePr>
  </w:style>
  <w:style w:type="table" w:customStyle="1" w:styleId="92">
    <w:name w:val="Grid Table 5 Dark- Accent 4"/>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1Horz">
      <w:tcPr>
        <w:shd w:val="clear" w:color="BFE0A8" w:themeColor="accent4" w:themeTint="75" w:fill="BFE0A8" w:themeFill="accent4" w:themeFillTint="75"/>
      </w:tcPr>
    </w:tblStylePr>
  </w:style>
  <w:style w:type="table" w:customStyle="1" w:styleId="93">
    <w:name w:val="Grid Table 5 Dark - Accent 5"/>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1Horz">
      <w:tcPr>
        <w:shd w:val="clear" w:color="9BE6E0" w:themeColor="accent5" w:themeTint="75" w:fill="9BE6E0" w:themeFill="accent5" w:themeFillTint="75"/>
      </w:tcPr>
    </w:tblStylePr>
  </w:style>
  <w:style w:type="table" w:customStyle="1" w:styleId="94">
    <w:name w:val="Grid Table 5 Dark - Accent 6"/>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1Horz">
      <w:tcPr>
        <w:shd w:val="clear" w:color="F3ACB5" w:themeColor="accent6" w:themeTint="75" w:fill="F3ACB5" w:themeFill="accent6" w:themeFillTint="75"/>
      </w:tcPr>
    </w:tblStylePr>
  </w:style>
  <w:style w:type="table" w:customStyle="1" w:styleId="95">
    <w:name w:val="Grid Table 6 Colorful"/>
    <w:basedOn w:val="28"/>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6 Colorful - Accent 1"/>
    <w:basedOn w:val="28"/>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97">
    <w:name w:val="Grid Table 6 Colorful - Accent 2"/>
    <w:basedOn w:val="28"/>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98">
    <w:name w:val="Grid Table 6 Colorful - Accent 3"/>
    <w:basedOn w:val="28"/>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99">
    <w:name w:val="Grid Table 6 Colorful - Accent 4"/>
    <w:basedOn w:val="28"/>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0">
    <w:name w:val="Grid Table 6 Colorful - Accent 5"/>
    <w:basedOn w:val="28"/>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1">
    <w:name w:val="Grid Table 6 Colorful - Accent 6"/>
    <w:basedOn w:val="28"/>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style>
  <w:style w:type="table" w:customStyle="1" w:styleId="102">
    <w:name w:val="Grid Table 7 Colorful"/>
    <w:basedOn w:val="28"/>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7 Colorful - Accent 1"/>
    <w:basedOn w:val="28"/>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104">
    <w:name w:val="Grid Table 7 Colorful - Accent 2"/>
    <w:basedOn w:val="28"/>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05">
    <w:name w:val="Grid Table 7 Colorful - Accent 3"/>
    <w:basedOn w:val="28"/>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106">
    <w:name w:val="Grid Table 7 Colorful - Accent 4"/>
    <w:basedOn w:val="28"/>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7">
    <w:name w:val="Grid Table 7 Colorful - Accent 5"/>
    <w:basedOn w:val="28"/>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8">
    <w:name w:val="Grid Table 7 Colorful - Accent 6"/>
    <w:basedOn w:val="28"/>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style>
  <w:style w:type="table" w:customStyle="1" w:styleId="109">
    <w:name w:val="List Table 1 Light"/>
    <w:basedOn w:val="28"/>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0">
    <w:name w:val="List Table 1 Light - Accent 1"/>
    <w:basedOn w:val="28"/>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1Horz">
      <w:tcPr>
        <w:shd w:val="clear" w:color="D1DCF1" w:themeColor="accent1" w:themeTint="40" w:fill="D1DCF1" w:themeFill="accent1" w:themeFillTint="40"/>
      </w:tcPr>
    </w:tblStylePr>
  </w:style>
  <w:style w:type="table" w:customStyle="1" w:styleId="111">
    <w:name w:val="List Table 1 Light - Accent 2"/>
    <w:basedOn w:val="28"/>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1Horz">
      <w:tcPr>
        <w:shd w:val="clear" w:color="FADFCA" w:themeColor="accent2" w:themeTint="40" w:fill="FADFCA" w:themeFill="accent2" w:themeFillTint="40"/>
      </w:tcPr>
    </w:tblStylePr>
  </w:style>
  <w:style w:type="table" w:customStyle="1" w:styleId="112">
    <w:name w:val="List Table 1 Light - Accent 3"/>
    <w:basedOn w:val="28"/>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1Horz">
      <w:tcPr>
        <w:shd w:val="clear" w:color="FEEFBC" w:themeColor="accent3" w:themeTint="40" w:fill="FEEFBC" w:themeFill="accent3" w:themeFillTint="40"/>
      </w:tcPr>
    </w:tblStylePr>
  </w:style>
  <w:style w:type="table" w:customStyle="1" w:styleId="113">
    <w:name w:val="List Table 1 Light - Accent 4"/>
    <w:basedOn w:val="28"/>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1Horz">
      <w:tcPr>
        <w:shd w:val="clear" w:color="DCEECF" w:themeColor="accent4" w:themeTint="40" w:fill="DCEECF" w:themeFill="accent4" w:themeFillTint="40"/>
      </w:tcPr>
    </w:tblStylePr>
  </w:style>
  <w:style w:type="table" w:customStyle="1" w:styleId="114">
    <w:name w:val="List Table 1 Light - Accent 5"/>
    <w:basedOn w:val="28"/>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1Horz">
      <w:tcPr>
        <w:shd w:val="clear" w:color="C8F1EE" w:themeColor="accent5" w:themeTint="40" w:fill="C8F1EE" w:themeFill="accent5" w:themeFillTint="40"/>
      </w:tcPr>
    </w:tblStylePr>
  </w:style>
  <w:style w:type="table" w:customStyle="1" w:styleId="115">
    <w:name w:val="List Table 1 Light - Accent 6"/>
    <w:basedOn w:val="28"/>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1Horz">
      <w:tcPr>
        <w:shd w:val="clear" w:color="F8D2D6" w:themeColor="accent6" w:themeTint="40" w:fill="F8D2D6" w:themeFill="accent6" w:themeFillTint="40"/>
      </w:tcPr>
    </w:tblStylePr>
  </w:style>
  <w:style w:type="table" w:customStyle="1" w:styleId="116">
    <w:name w:val="List Table 2"/>
    <w:basedOn w:val="28"/>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2 - Accent 1"/>
    <w:basedOn w:val="28"/>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18">
    <w:name w:val="List Table 2 - Accent 2"/>
    <w:basedOn w:val="28"/>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19">
    <w:name w:val="List Table 2 - Accent 3"/>
    <w:basedOn w:val="28"/>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20">
    <w:name w:val="List Table 2 - Accent 4"/>
    <w:basedOn w:val="28"/>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21">
    <w:name w:val="List Table 2 - Accent 5"/>
    <w:basedOn w:val="28"/>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22">
    <w:name w:val="List Table 2 - Accent 6"/>
    <w:basedOn w:val="28"/>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23">
    <w:name w:val="List Table 3"/>
    <w:basedOn w:val="2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basedOn w:val="28"/>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1Horz">
      <w:rPr>
        <w:rFonts w:ascii="Arial" w:hAnsi="Arial"/>
        <w:color w:val="404040"/>
        <w:sz w:val="22"/>
      </w:rPr>
      <w:tcPr>
        <w:tcBorders>
          <w:top w:val="single" w:color="4874CB" w:themeColor="accent1" w:sz="4" w:space="0"/>
          <w:bottom w:val="single" w:color="4874CB" w:themeColor="accent1" w:sz="4" w:space="0"/>
        </w:tcBorders>
      </w:tcPr>
    </w:tblStylePr>
  </w:style>
  <w:style w:type="table" w:customStyle="1" w:styleId="125">
    <w:name w:val="List Table 3 - Accent 2"/>
    <w:basedOn w:val="28"/>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style>
  <w:style w:type="table" w:customStyle="1" w:styleId="126">
    <w:name w:val="List Table 3 - Accent 3"/>
    <w:basedOn w:val="28"/>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style>
  <w:style w:type="table" w:customStyle="1" w:styleId="127">
    <w:name w:val="List Table 3 - Accent 4"/>
    <w:basedOn w:val="28"/>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style>
  <w:style w:type="table" w:customStyle="1" w:styleId="128">
    <w:name w:val="List Table 3 - Accent 5"/>
    <w:basedOn w:val="28"/>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style>
  <w:style w:type="table" w:customStyle="1" w:styleId="129">
    <w:name w:val="List Table 3 - Accent 6"/>
    <w:basedOn w:val="28"/>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style>
  <w:style w:type="table" w:customStyle="1" w:styleId="130">
    <w:name w:val="List Table 4"/>
    <w:basedOn w:val="2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4 - Accent 1"/>
    <w:basedOn w:val="28"/>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32">
    <w:name w:val="List Table 4 - Accent 2"/>
    <w:basedOn w:val="28"/>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33">
    <w:name w:val="List Table 4 - Accent 3"/>
    <w:basedOn w:val="28"/>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34">
    <w:name w:val="List Table 4 - Accent 4"/>
    <w:basedOn w:val="28"/>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35">
    <w:name w:val="List Table 4 - Accent 5"/>
    <w:basedOn w:val="28"/>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36">
    <w:name w:val="List Table 4 - Accent 6"/>
    <w:basedOn w:val="28"/>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37">
    <w:name w:val="List Table 5 Dark"/>
    <w:basedOn w:val="28"/>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8">
    <w:name w:val="List Table 5 Dark - Accent 1"/>
    <w:basedOn w:val="28"/>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style>
  <w:style w:type="table" w:customStyle="1" w:styleId="139">
    <w:name w:val="List Table 5 Dark - Accent 2"/>
    <w:basedOn w:val="28"/>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style>
  <w:style w:type="table" w:customStyle="1" w:styleId="140">
    <w:name w:val="List Table 5 Dark - Accent 3"/>
    <w:basedOn w:val="28"/>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style>
  <w:style w:type="table" w:customStyle="1" w:styleId="141">
    <w:name w:val="List Table 5 Dark - Accent 4"/>
    <w:basedOn w:val="28"/>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style>
  <w:style w:type="table" w:customStyle="1" w:styleId="142">
    <w:name w:val="List Table 5 Dark - Accent 5"/>
    <w:basedOn w:val="28"/>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style>
  <w:style w:type="table" w:customStyle="1" w:styleId="143">
    <w:name w:val="List Table 5 Dark - Accent 6"/>
    <w:basedOn w:val="28"/>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style>
  <w:style w:type="table" w:customStyle="1" w:styleId="144">
    <w:name w:val="List Table 6 Colorful"/>
    <w:basedOn w:val="28"/>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5">
    <w:name w:val="List Table 6 Colorful - Accent 1"/>
    <w:basedOn w:val="28"/>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46">
    <w:name w:val="List Table 6 Colorful - Accent 2"/>
    <w:basedOn w:val="28"/>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47">
    <w:name w:val="List Table 6 Colorful - Accent 3"/>
    <w:basedOn w:val="28"/>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48">
    <w:name w:val="List Table 6 Colorful - Accent 4"/>
    <w:basedOn w:val="28"/>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49">
    <w:name w:val="List Table 6 Colorful - Accent 5"/>
    <w:basedOn w:val="28"/>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0">
    <w:name w:val="List Table 6 Colorful - Accent 6"/>
    <w:basedOn w:val="28"/>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1">
    <w:name w:val="List Table 7 Colorful"/>
    <w:basedOn w:val="28"/>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2">
    <w:name w:val="List Table 7 Colorful - Accent 1"/>
    <w:basedOn w:val="28"/>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53">
    <w:name w:val="List Table 7 Colorful - Accent 2"/>
    <w:basedOn w:val="28"/>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54">
    <w:name w:val="List Table 7 Colorful - Accent 3"/>
    <w:basedOn w:val="28"/>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55">
    <w:name w:val="List Table 7 Colorful - Accent 4"/>
    <w:basedOn w:val="28"/>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56">
    <w:name w:val="List Table 7 Colorful - Accent 5"/>
    <w:basedOn w:val="28"/>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7">
    <w:name w:val="List Table 7 Colorful - Accent 6"/>
    <w:basedOn w:val="28"/>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8">
    <w:name w:val="Lined - Accent"/>
    <w:basedOn w:val="28"/>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Lined - Accent 1"/>
    <w:basedOn w:val="28"/>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0">
    <w:name w:val="Lined - Accent 2"/>
    <w:basedOn w:val="28"/>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1">
    <w:name w:val="Lined - Accent 3"/>
    <w:basedOn w:val="28"/>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62">
    <w:name w:val="Lined - Accent 4"/>
    <w:basedOn w:val="28"/>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63">
    <w:name w:val="Lined - Accent 5"/>
    <w:basedOn w:val="28"/>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64">
    <w:name w:val="Lined - Accent 6"/>
    <w:basedOn w:val="28"/>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65">
    <w:name w:val="Bordered &amp; Lined - Accent"/>
    <w:basedOn w:val="28"/>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Bordered &amp; Lined - Accent 1"/>
    <w:basedOn w:val="28"/>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7">
    <w:name w:val="Bordered &amp; Lined - Accent 2"/>
    <w:basedOn w:val="28"/>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8">
    <w:name w:val="Bordered &amp; Lined - Accent 3"/>
    <w:basedOn w:val="28"/>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69">
    <w:name w:val="Bordered &amp; Lined - Accent 4"/>
    <w:basedOn w:val="28"/>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70">
    <w:name w:val="Bordered &amp; Lined - Accent 5"/>
    <w:basedOn w:val="28"/>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71">
    <w:name w:val="Bordered &amp; Lined - Accent 6"/>
    <w:basedOn w:val="28"/>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72">
    <w:name w:val="Bordered"/>
    <w:basedOn w:val="28"/>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basedOn w:val="28"/>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174">
    <w:name w:val="Bordered - Accent 2"/>
    <w:basedOn w:val="28"/>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175">
    <w:name w:val="Bordered - Accent 3"/>
    <w:basedOn w:val="28"/>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176">
    <w:name w:val="Bordered - Accent 4"/>
    <w:basedOn w:val="28"/>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177">
    <w:name w:val="Bordered - Accent 5"/>
    <w:basedOn w:val="28"/>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178">
    <w:name w:val="Bordered - Accent 6"/>
    <w:basedOn w:val="28"/>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Theme="minorHAnsi" w:hAnsiTheme="minorHAnsi" w:eastAsiaTheme="minorEastAsia" w:cstheme="minorBidi"/>
    </w:rPr>
  </w:style>
  <w:style w:type="paragraph" w:customStyle="1" w:styleId="182">
    <w:name w:val="纯文本1"/>
    <w:basedOn w:val="1"/>
    <w:qFormat/>
    <w:uiPriority w:val="0"/>
    <w:rPr>
      <w:rFonts w:ascii="宋体" w:hAnsi="Courier New" w:cs="Courier New"/>
      <w:kern w:val="2"/>
      <w:sz w:val="21"/>
      <w:szCs w:val="21"/>
    </w:rPr>
  </w:style>
  <w:style w:type="paragraph" w:customStyle="1" w:styleId="183">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宋体"/>
        <a:cs typeface="Arial"/>
      </a:majorFont>
      <a:minorFont>
        <a:latin typeface="Calibri"/>
        <a:ea typeface="宋体"/>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2170</Words>
  <Characters>2188</Characters>
  <TotalTime>0</TotalTime>
  <ScaleCrop>false</ScaleCrop>
  <LinksUpToDate>false</LinksUpToDate>
  <CharactersWithSpaces>2288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兆丰年</cp:lastModifiedBy>
  <cp:revision>2</cp:revision>
  <dcterms:created xsi:type="dcterms:W3CDTF">2026-05-12T16:13:00Z</dcterms:created>
  <dcterms:modified xsi:type="dcterms:W3CDTF">2026-08-24T15:39:41Z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6319F1369908D961CF65826A0ADEDCB2</vt:lpwstr>
  </property>
  <property fmtid="{D5CDD505-2E9C-101B-9397-08002B2CF9AE}" pid="4" name="KSOTemplateDocerSaveRecord">
    <vt:lpwstr>eyJoZGlkIjoiOGNkNTc5YzcxMTdjOWI5MDY4YWE2OTVhYWYxNDU3OWEiLCJ1c2VySWQiOiIzNDUzNjAyMjgifQ==</vt:lpwstr>
  </property>
</Properties>
</file>