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53736">
      <w:pPr>
        <w:widowControl/>
        <w:spacing w:line="579" w:lineRule="exact"/>
        <w:jc w:val="left"/>
        <w:rPr>
          <w:rFonts w:ascii="Times New Roman" w:hAnsi="Times New Roman" w:eastAsia="黑体" w:cs="方正小标宋简体"/>
          <w:color w:val="auto"/>
          <w:kern w:val="0"/>
          <w:sz w:val="32"/>
          <w:szCs w:val="32"/>
          <w:highlight w:val="none"/>
          <w:lang w:bidi="ar"/>
        </w:rPr>
      </w:pPr>
      <w:r>
        <w:rPr>
          <w:rFonts w:hint="eastAsia" w:ascii="Times New Roman" w:hAnsi="Times New Roman" w:eastAsia="黑体" w:cs="方正小标宋简体"/>
          <w:color w:val="auto"/>
          <w:kern w:val="0"/>
          <w:sz w:val="32"/>
          <w:szCs w:val="32"/>
          <w:highlight w:val="none"/>
          <w:lang w:bidi="ar"/>
        </w:rPr>
        <w:t>附件</w:t>
      </w:r>
      <w:r>
        <w:rPr>
          <w:rFonts w:ascii="Times New Roman" w:hAnsi="Times New Roman" w:eastAsia="黑体" w:cs="方正小标宋简体"/>
          <w:color w:val="auto"/>
          <w:kern w:val="0"/>
          <w:sz w:val="32"/>
          <w:szCs w:val="32"/>
          <w:highlight w:val="none"/>
          <w:lang w:bidi="ar"/>
        </w:rPr>
        <w:t>1</w:t>
      </w:r>
    </w:p>
    <w:p w14:paraId="03C0E7CE">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Times New Roman" w:hAnsi="Times New Roman" w:eastAsia="方正小标宋简体" w:cs="方正小标宋简体"/>
          <w:color w:val="auto"/>
          <w:spacing w:val="-28"/>
          <w:w w:val="98"/>
          <w:kern w:val="0"/>
          <w:sz w:val="44"/>
          <w:szCs w:val="44"/>
          <w:highlight w:val="none"/>
          <w:lang w:eastAsia="zh-CN" w:bidi="ar"/>
        </w:rPr>
      </w:pPr>
      <w:r>
        <w:rPr>
          <w:rFonts w:hint="eastAsia" w:ascii="Times New Roman" w:hAnsi="Times New Roman" w:eastAsia="方正小标宋简体" w:cs="方正小标宋简体"/>
          <w:color w:val="auto"/>
          <w:spacing w:val="-28"/>
          <w:w w:val="98"/>
          <w:kern w:val="0"/>
          <w:sz w:val="44"/>
          <w:szCs w:val="44"/>
          <w:highlight w:val="none"/>
          <w:lang w:bidi="ar"/>
        </w:rPr>
        <w:t>202</w:t>
      </w:r>
      <w:r>
        <w:rPr>
          <w:rFonts w:hint="eastAsia" w:ascii="Times New Roman" w:hAnsi="Times New Roman" w:eastAsia="方正小标宋简体" w:cs="方正小标宋简体"/>
          <w:color w:val="auto"/>
          <w:spacing w:val="-28"/>
          <w:w w:val="98"/>
          <w:kern w:val="0"/>
          <w:sz w:val="44"/>
          <w:szCs w:val="44"/>
          <w:highlight w:val="none"/>
          <w:lang w:val="en-US" w:eastAsia="zh-CN" w:bidi="ar"/>
        </w:rPr>
        <w:t>6</w:t>
      </w:r>
      <w:r>
        <w:rPr>
          <w:rFonts w:hint="eastAsia" w:ascii="Times New Roman" w:hAnsi="Times New Roman" w:eastAsia="方正小标宋简体" w:cs="方正小标宋简体"/>
          <w:color w:val="auto"/>
          <w:spacing w:val="-28"/>
          <w:w w:val="98"/>
          <w:kern w:val="0"/>
          <w:sz w:val="44"/>
          <w:szCs w:val="44"/>
          <w:highlight w:val="none"/>
          <w:lang w:bidi="ar"/>
        </w:rPr>
        <w:t>年度温州市</w:t>
      </w:r>
      <w:r>
        <w:rPr>
          <w:rFonts w:hint="eastAsia" w:ascii="Times New Roman" w:hAnsi="Times New Roman" w:eastAsia="方正小标宋简体" w:cs="方正小标宋简体"/>
          <w:color w:val="auto"/>
          <w:spacing w:val="-28"/>
          <w:w w:val="98"/>
          <w:kern w:val="0"/>
          <w:sz w:val="44"/>
          <w:szCs w:val="44"/>
          <w:highlight w:val="none"/>
          <w:lang w:val="en-US" w:eastAsia="zh-CN" w:bidi="ar"/>
        </w:rPr>
        <w:t>全面深化</w:t>
      </w:r>
      <w:r>
        <w:rPr>
          <w:rFonts w:hint="eastAsia" w:ascii="Times New Roman" w:hAnsi="Times New Roman" w:eastAsia="方正小标宋简体" w:cs="方正小标宋简体"/>
          <w:color w:val="auto"/>
          <w:spacing w:val="-28"/>
          <w:w w:val="98"/>
          <w:kern w:val="0"/>
          <w:sz w:val="44"/>
          <w:szCs w:val="44"/>
          <w:highlight w:val="none"/>
          <w:lang w:bidi="ar"/>
        </w:rPr>
        <w:t>改革研究课题</w:t>
      </w:r>
      <w:r>
        <w:rPr>
          <w:rFonts w:hint="eastAsia" w:ascii="Times New Roman" w:hAnsi="Times New Roman" w:eastAsia="方正小标宋简体" w:cs="方正小标宋简体"/>
          <w:color w:val="auto"/>
          <w:spacing w:val="-28"/>
          <w:w w:val="98"/>
          <w:kern w:val="0"/>
          <w:sz w:val="44"/>
          <w:szCs w:val="44"/>
          <w:highlight w:val="none"/>
          <w:lang w:eastAsia="zh-CN" w:bidi="ar"/>
        </w:rPr>
        <w:t>（第</w:t>
      </w:r>
      <w:r>
        <w:rPr>
          <w:rFonts w:hint="eastAsia" w:ascii="Times New Roman" w:hAnsi="Times New Roman" w:eastAsia="方正小标宋简体" w:cs="方正小标宋简体"/>
          <w:color w:val="auto"/>
          <w:spacing w:val="-28"/>
          <w:w w:val="98"/>
          <w:kern w:val="0"/>
          <w:sz w:val="44"/>
          <w:szCs w:val="44"/>
          <w:highlight w:val="none"/>
          <w:lang w:val="en-US" w:eastAsia="zh-CN" w:bidi="ar"/>
        </w:rPr>
        <w:t>二</w:t>
      </w:r>
      <w:r>
        <w:rPr>
          <w:rFonts w:hint="eastAsia" w:ascii="Times New Roman" w:hAnsi="Times New Roman" w:eastAsia="方正小标宋简体" w:cs="方正小标宋简体"/>
          <w:color w:val="auto"/>
          <w:spacing w:val="-28"/>
          <w:w w:val="98"/>
          <w:kern w:val="0"/>
          <w:sz w:val="44"/>
          <w:szCs w:val="44"/>
          <w:highlight w:val="none"/>
          <w:lang w:eastAsia="zh-CN" w:bidi="ar"/>
        </w:rPr>
        <w:t>批）</w:t>
      </w:r>
      <w:r>
        <w:rPr>
          <w:rFonts w:hint="eastAsia" w:ascii="Times New Roman" w:hAnsi="Times New Roman" w:eastAsia="方正小标宋简体" w:cs="方正小标宋简体"/>
          <w:color w:val="auto"/>
          <w:spacing w:val="-28"/>
          <w:w w:val="98"/>
          <w:kern w:val="0"/>
          <w:sz w:val="44"/>
          <w:szCs w:val="44"/>
          <w:highlight w:val="none"/>
          <w:lang w:bidi="ar"/>
        </w:rPr>
        <w:t>选题</w:t>
      </w:r>
      <w:r>
        <w:rPr>
          <w:rFonts w:hint="eastAsia" w:ascii="Times New Roman" w:hAnsi="Times New Roman" w:eastAsia="方正小标宋简体" w:cs="方正小标宋简体"/>
          <w:color w:val="auto"/>
          <w:spacing w:val="-28"/>
          <w:w w:val="98"/>
          <w:kern w:val="0"/>
          <w:sz w:val="44"/>
          <w:szCs w:val="44"/>
          <w:highlight w:val="none"/>
          <w:lang w:eastAsia="zh-CN" w:bidi="ar"/>
        </w:rPr>
        <w:t>清单</w:t>
      </w:r>
    </w:p>
    <w:tbl>
      <w:tblPr>
        <w:tblStyle w:val="14"/>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654"/>
        <w:gridCol w:w="6856"/>
      </w:tblGrid>
      <w:tr w14:paraId="1D06A973">
        <w:trPr>
          <w:tblHeader/>
          <w:jc w:val="center"/>
        </w:trPr>
        <w:tc>
          <w:tcPr>
            <w:tcW w:w="931" w:type="dxa"/>
            <w:vAlign w:val="center"/>
          </w:tcPr>
          <w:p w14:paraId="30EC660B">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黑体" w:hAnsi="黑体" w:eastAsia="黑体" w:cs="黑体"/>
                <w:color w:val="auto"/>
                <w:sz w:val="28"/>
                <w:szCs w:val="28"/>
                <w:highlight w:val="none"/>
                <w:vertAlign w:val="baseline"/>
                <w:lang w:val="en-US" w:eastAsia="zh-CN" w:bidi="ar"/>
              </w:rPr>
            </w:pPr>
            <w:r>
              <w:rPr>
                <w:rFonts w:hint="eastAsia" w:ascii="黑体" w:hAnsi="黑体" w:eastAsia="黑体" w:cs="黑体"/>
                <w:color w:val="auto"/>
                <w:sz w:val="28"/>
                <w:szCs w:val="28"/>
                <w:highlight w:val="none"/>
                <w:vertAlign w:val="baseline"/>
                <w:lang w:val="en-US" w:eastAsia="zh-CN" w:bidi="ar"/>
              </w:rPr>
              <w:t>序号</w:t>
            </w:r>
          </w:p>
        </w:tc>
        <w:tc>
          <w:tcPr>
            <w:tcW w:w="1654" w:type="dxa"/>
            <w:vAlign w:val="center"/>
          </w:tcPr>
          <w:p w14:paraId="638A703C">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黑体" w:hAnsi="黑体" w:eastAsia="黑体" w:cs="黑体"/>
                <w:color w:val="auto"/>
                <w:sz w:val="28"/>
                <w:szCs w:val="28"/>
                <w:highlight w:val="none"/>
                <w:vertAlign w:val="baseline"/>
                <w:lang w:val="en-US" w:eastAsia="zh-CN" w:bidi="ar"/>
              </w:rPr>
            </w:pPr>
            <w:r>
              <w:rPr>
                <w:rFonts w:hint="eastAsia" w:ascii="黑体" w:hAnsi="黑体" w:eastAsia="黑体" w:cs="黑体"/>
                <w:color w:val="auto"/>
                <w:sz w:val="28"/>
                <w:szCs w:val="28"/>
                <w:highlight w:val="none"/>
                <w:vertAlign w:val="baseline"/>
                <w:lang w:val="en-US" w:eastAsia="zh-CN" w:bidi="ar"/>
              </w:rPr>
              <w:t>课题名称</w:t>
            </w:r>
          </w:p>
        </w:tc>
        <w:tc>
          <w:tcPr>
            <w:tcW w:w="6856" w:type="dxa"/>
            <w:vAlign w:val="center"/>
          </w:tcPr>
          <w:p w14:paraId="6CB92A53">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黑体" w:hAnsi="黑体" w:eastAsia="黑体" w:cs="黑体"/>
                <w:color w:val="auto"/>
                <w:sz w:val="28"/>
                <w:szCs w:val="28"/>
                <w:highlight w:val="none"/>
                <w:vertAlign w:val="baseline"/>
                <w:lang w:val="en-US" w:eastAsia="zh-CN" w:bidi="ar"/>
              </w:rPr>
            </w:pPr>
            <w:bookmarkStart w:id="0" w:name="OLE_LINK1"/>
            <w:r>
              <w:rPr>
                <w:rFonts w:hint="eastAsia" w:ascii="黑体" w:hAnsi="黑体" w:eastAsia="黑体" w:cs="黑体"/>
                <w:color w:val="auto"/>
                <w:sz w:val="28"/>
                <w:szCs w:val="28"/>
                <w:highlight w:val="none"/>
                <w:vertAlign w:val="baseline"/>
                <w:lang w:val="en-US" w:eastAsia="zh-CN" w:bidi="ar"/>
              </w:rPr>
              <w:t>课题研究重点</w:t>
            </w:r>
            <w:bookmarkEnd w:id="0"/>
          </w:p>
        </w:tc>
      </w:tr>
      <w:tr w14:paraId="77422232">
        <w:trPr>
          <w:trHeight w:val="90" w:hRule="atLeast"/>
          <w:jc w:val="center"/>
        </w:trPr>
        <w:tc>
          <w:tcPr>
            <w:tcW w:w="931" w:type="dxa"/>
            <w:vAlign w:val="center"/>
          </w:tcPr>
          <w:p w14:paraId="077C27E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仿宋_GB2312"/>
                <w:color w:val="auto"/>
                <w:sz w:val="28"/>
                <w:szCs w:val="28"/>
                <w:highlight w:val="none"/>
                <w:vertAlign w:val="baseline"/>
                <w:lang w:val="en-US" w:eastAsia="zh-CN" w:bidi="ar"/>
              </w:rPr>
            </w:pPr>
            <w:bookmarkStart w:id="1" w:name="OLE_LINK14" w:colFirst="1" w:colLast="2"/>
            <w:r>
              <w:rPr>
                <w:rFonts w:hint="eastAsia" w:ascii="Times New Roman" w:hAnsi="Times New Roman" w:eastAsia="仿宋_GB2312" w:cs="仿宋_GB2312"/>
                <w:color w:val="auto"/>
                <w:sz w:val="28"/>
                <w:szCs w:val="28"/>
                <w:highlight w:val="none"/>
                <w:vertAlign w:val="baseline"/>
                <w:lang w:val="en-US" w:eastAsia="zh-CN" w:bidi="ar"/>
              </w:rPr>
              <w:t>1</w:t>
            </w:r>
          </w:p>
        </w:tc>
        <w:tc>
          <w:tcPr>
            <w:tcW w:w="1654" w:type="dxa"/>
            <w:vAlign w:val="center"/>
          </w:tcPr>
          <w:p w14:paraId="7BAA19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both"/>
              <w:textAlignment w:val="auto"/>
              <w:rPr>
                <w:rFonts w:hint="eastAsia" w:ascii="楷体_GB2312" w:hAnsi="楷体_GB2312" w:eastAsia="楷体_GB2312" w:cs="楷体_GB2312"/>
                <w:b w:val="0"/>
                <w:bCs w:val="0"/>
                <w:color w:val="auto"/>
                <w:sz w:val="28"/>
                <w:szCs w:val="28"/>
                <w:highlight w:val="none"/>
                <w:vertAlign w:val="baseline"/>
                <w:lang w:val="en-US" w:eastAsia="zh-CN" w:bidi="ar"/>
              </w:rPr>
            </w:pPr>
            <w:r>
              <w:rPr>
                <w:rFonts w:hint="eastAsia" w:ascii="楷体_GB2312" w:hAnsi="楷体_GB2312" w:eastAsia="楷体_GB2312" w:cs="楷体_GB2312"/>
                <w:b w:val="0"/>
                <w:bCs w:val="0"/>
                <w:color w:val="auto"/>
                <w:sz w:val="28"/>
                <w:szCs w:val="28"/>
                <w:highlight w:val="none"/>
                <w:lang w:val="en-US" w:eastAsia="zh-CN" w:bidi="ar"/>
              </w:rPr>
              <w:t>人工智能应用场景建设推广的体制机制障碍和改革路径研究</w:t>
            </w:r>
          </w:p>
        </w:tc>
        <w:tc>
          <w:tcPr>
            <w:tcW w:w="6856" w:type="dxa"/>
            <w:vAlign w:val="center"/>
          </w:tcPr>
          <w:p w14:paraId="7D71CE3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b w:val="0"/>
                <w:bCs w:val="0"/>
                <w:color w:val="auto"/>
                <w:sz w:val="28"/>
                <w:szCs w:val="28"/>
                <w:highlight w:val="none"/>
                <w:vertAlign w:val="baseline"/>
                <w:lang w:val="en-US" w:eastAsia="zh-CN" w:bidi="ar"/>
              </w:rPr>
            </w:pPr>
            <w:r>
              <w:rPr>
                <w:rFonts w:hint="eastAsia" w:ascii="仿宋_GB2312" w:hAnsi="仿宋_GB2312" w:eastAsia="仿宋_GB2312" w:cs="仿宋_GB2312"/>
                <w:b w:val="0"/>
                <w:bCs w:val="0"/>
                <w:color w:val="auto"/>
                <w:sz w:val="28"/>
                <w:szCs w:val="28"/>
                <w:highlight w:val="none"/>
                <w:lang w:val="en-US" w:eastAsia="zh-CN" w:bidi="ar"/>
              </w:rPr>
              <w:t>为贯彻落实国务院</w:t>
            </w:r>
            <w:r>
              <w:rPr>
                <w:rFonts w:hint="default" w:ascii="仿宋_GB2312" w:hAnsi="仿宋_GB2312" w:eastAsia="仿宋_GB2312" w:cs="仿宋_GB2312"/>
                <w:b w:val="0"/>
                <w:bCs w:val="0"/>
                <w:color w:val="auto"/>
                <w:sz w:val="28"/>
                <w:szCs w:val="28"/>
                <w:highlight w:val="none"/>
                <w:lang w:val="en-US" w:eastAsia="zh-CN" w:bidi="ar"/>
              </w:rPr>
              <w:t>《关于深入实施</w:t>
            </w:r>
            <w:r>
              <w:rPr>
                <w:rFonts w:hint="eastAsia" w:ascii="仿宋_GB2312" w:hAnsi="仿宋_GB2312" w:eastAsia="仿宋_GB2312" w:cs="仿宋_GB2312"/>
                <w:b w:val="0"/>
                <w:bCs w:val="0"/>
                <w:color w:val="auto"/>
                <w:sz w:val="28"/>
                <w:szCs w:val="28"/>
                <w:highlight w:val="none"/>
                <w:lang w:val="en-US" w:eastAsia="zh-CN" w:bidi="ar"/>
              </w:rPr>
              <w:t>“</w:t>
            </w:r>
            <w:r>
              <w:rPr>
                <w:rFonts w:hint="default" w:ascii="仿宋_GB2312" w:hAnsi="仿宋_GB2312" w:eastAsia="仿宋_GB2312" w:cs="仿宋_GB2312"/>
                <w:b w:val="0"/>
                <w:bCs w:val="0"/>
                <w:color w:val="auto"/>
                <w:sz w:val="28"/>
                <w:szCs w:val="28"/>
                <w:highlight w:val="none"/>
                <w:lang w:val="en-US" w:eastAsia="zh-CN" w:bidi="ar"/>
              </w:rPr>
              <w:t>人工智能+</w:t>
            </w:r>
            <w:r>
              <w:rPr>
                <w:rFonts w:hint="eastAsia" w:ascii="仿宋_GB2312" w:hAnsi="仿宋_GB2312" w:eastAsia="仿宋_GB2312" w:cs="仿宋_GB2312"/>
                <w:b w:val="0"/>
                <w:bCs w:val="0"/>
                <w:color w:val="auto"/>
                <w:sz w:val="28"/>
                <w:szCs w:val="28"/>
                <w:highlight w:val="none"/>
                <w:lang w:val="en-US" w:eastAsia="zh-CN" w:bidi="ar"/>
              </w:rPr>
              <w:t>”</w:t>
            </w:r>
            <w:r>
              <w:rPr>
                <w:rFonts w:hint="default" w:ascii="仿宋_GB2312" w:hAnsi="仿宋_GB2312" w:eastAsia="仿宋_GB2312" w:cs="仿宋_GB2312"/>
                <w:b w:val="0"/>
                <w:bCs w:val="0"/>
                <w:color w:val="auto"/>
                <w:sz w:val="28"/>
                <w:szCs w:val="28"/>
                <w:highlight w:val="none"/>
                <w:lang w:val="en-US" w:eastAsia="zh-CN" w:bidi="ar"/>
              </w:rPr>
              <w:t>行动的意见》</w:t>
            </w:r>
            <w:r>
              <w:rPr>
                <w:rFonts w:hint="eastAsia" w:ascii="仿宋_GB2312" w:hAnsi="仿宋_GB2312" w:eastAsia="仿宋_GB2312" w:cs="仿宋_GB2312"/>
                <w:b w:val="0"/>
                <w:bCs w:val="0"/>
                <w:color w:val="auto"/>
                <w:sz w:val="28"/>
                <w:szCs w:val="28"/>
                <w:highlight w:val="none"/>
                <w:lang w:val="en-US" w:eastAsia="zh-CN" w:bidi="ar"/>
              </w:rPr>
              <w:t>精神，</w:t>
            </w:r>
            <w:r>
              <w:rPr>
                <w:rFonts w:hint="default" w:ascii="仿宋_GB2312" w:hAnsi="仿宋_GB2312" w:eastAsia="仿宋_GB2312" w:cs="仿宋_GB2312"/>
                <w:b w:val="0"/>
                <w:bCs w:val="0"/>
                <w:color w:val="auto"/>
                <w:sz w:val="28"/>
                <w:szCs w:val="28"/>
                <w:highlight w:val="none"/>
                <w:lang w:val="en-US" w:eastAsia="zh-CN" w:bidi="ar"/>
              </w:rPr>
              <w:t>聚焦</w:t>
            </w:r>
            <w:r>
              <w:rPr>
                <w:rFonts w:hint="eastAsia" w:ascii="仿宋_GB2312" w:hAnsi="仿宋_GB2312" w:eastAsia="仿宋_GB2312" w:cs="仿宋_GB2312"/>
                <w:b w:val="0"/>
                <w:bCs w:val="0"/>
                <w:color w:val="auto"/>
                <w:sz w:val="28"/>
                <w:szCs w:val="28"/>
                <w:highlight w:val="none"/>
                <w:lang w:val="en-US" w:eastAsia="zh-CN" w:bidi="ar"/>
              </w:rPr>
              <w:t>温州提速打造“AI示范应用第一城”目标，针对</w:t>
            </w:r>
            <w:r>
              <w:rPr>
                <w:rFonts w:hint="default" w:ascii="仿宋_GB2312" w:hAnsi="仿宋_GB2312" w:eastAsia="仿宋_GB2312" w:cs="仿宋_GB2312"/>
                <w:b w:val="0"/>
                <w:bCs w:val="0"/>
                <w:color w:val="auto"/>
                <w:sz w:val="28"/>
                <w:szCs w:val="28"/>
                <w:highlight w:val="none"/>
                <w:lang w:val="en-US" w:eastAsia="zh-CN" w:bidi="ar"/>
              </w:rPr>
              <w:t>当前应用场景覆盖面窄、企业普遍面临“不敢用、不会用”困境，分析制约场景建设推广的深层体制障碍，重点围绕场景供需精准对接、公共数据合规开放与行业数据共享、算力普惠供给、容错监管与标准规范等关键环节</w:t>
            </w:r>
            <w:r>
              <w:rPr>
                <w:rFonts w:hint="eastAsia" w:ascii="仿宋_GB2312" w:hAnsi="仿宋_GB2312" w:eastAsia="仿宋_GB2312" w:cs="仿宋_GB2312"/>
                <w:b w:val="0"/>
                <w:bCs w:val="0"/>
                <w:color w:val="auto"/>
                <w:sz w:val="28"/>
                <w:szCs w:val="28"/>
                <w:highlight w:val="none"/>
                <w:lang w:val="en-US" w:eastAsia="zh-CN" w:bidi="ar"/>
              </w:rPr>
              <w:t>，</w:t>
            </w:r>
            <w:r>
              <w:rPr>
                <w:rFonts w:hint="default" w:ascii="仿宋_GB2312" w:hAnsi="仿宋_GB2312" w:eastAsia="仿宋_GB2312" w:cs="仿宋_GB2312"/>
                <w:b w:val="0"/>
                <w:bCs w:val="0"/>
                <w:color w:val="auto"/>
                <w:sz w:val="28"/>
                <w:szCs w:val="28"/>
                <w:highlight w:val="none"/>
                <w:lang w:val="en-US" w:eastAsia="zh-CN" w:bidi="ar"/>
              </w:rPr>
              <w:t>在借鉴上海、深圳等先进城市制度经验的基础上，研究提出符合温州实际的人工智能场景推广创新路径，为温州破除体制壁垒、加速人工智能赋能实体经济和培育新质生产力提供</w:t>
            </w:r>
            <w:r>
              <w:rPr>
                <w:rFonts w:hint="eastAsia" w:ascii="仿宋_GB2312" w:hAnsi="仿宋_GB2312" w:eastAsia="仿宋_GB2312" w:cs="仿宋_GB2312"/>
                <w:b w:val="0"/>
                <w:bCs w:val="0"/>
                <w:color w:val="auto"/>
                <w:sz w:val="28"/>
                <w:szCs w:val="28"/>
                <w:highlight w:val="none"/>
                <w:lang w:val="en-US" w:eastAsia="zh-CN" w:bidi="ar"/>
              </w:rPr>
              <w:t>对策建议。</w:t>
            </w:r>
          </w:p>
        </w:tc>
      </w:tr>
      <w:bookmarkEnd w:id="1"/>
      <w:tr w14:paraId="429A894C">
        <w:trPr>
          <w:trHeight w:val="90" w:hRule="atLeast"/>
          <w:jc w:val="center"/>
        </w:trPr>
        <w:tc>
          <w:tcPr>
            <w:tcW w:w="931" w:type="dxa"/>
            <w:vAlign w:val="center"/>
          </w:tcPr>
          <w:p w14:paraId="4E2B1AA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仿宋_GB2312"/>
                <w:color w:val="auto"/>
                <w:sz w:val="28"/>
                <w:szCs w:val="28"/>
                <w:highlight w:val="none"/>
                <w:vertAlign w:val="baseline"/>
                <w:lang w:val="en-US" w:eastAsia="zh-CN" w:bidi="ar"/>
              </w:rPr>
            </w:pPr>
            <w:bookmarkStart w:id="2" w:name="OLE_LINK15" w:colFirst="1" w:colLast="2"/>
            <w:r>
              <w:rPr>
                <w:rFonts w:hint="eastAsia" w:ascii="Times New Roman" w:hAnsi="Times New Roman" w:eastAsia="仿宋_GB2312" w:cs="仿宋_GB2312"/>
                <w:color w:val="auto"/>
                <w:sz w:val="28"/>
                <w:szCs w:val="28"/>
                <w:highlight w:val="none"/>
                <w:vertAlign w:val="baseline"/>
                <w:lang w:val="en-US" w:eastAsia="zh-CN" w:bidi="ar"/>
              </w:rPr>
              <w:t>2</w:t>
            </w:r>
          </w:p>
        </w:tc>
        <w:tc>
          <w:tcPr>
            <w:tcW w:w="1654" w:type="dxa"/>
            <w:vAlign w:val="center"/>
          </w:tcPr>
          <w:p w14:paraId="1F9D8D1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both"/>
              <w:textAlignment w:val="auto"/>
              <w:rPr>
                <w:rFonts w:hint="eastAsia" w:ascii="楷体_GB2312" w:hAnsi="楷体_GB2312" w:eastAsia="楷体_GB2312" w:cs="楷体_GB2312"/>
                <w:b w:val="0"/>
                <w:bCs w:val="0"/>
                <w:color w:val="auto"/>
                <w:sz w:val="28"/>
                <w:szCs w:val="28"/>
                <w:highlight w:val="none"/>
                <w:vertAlign w:val="baseline"/>
                <w:lang w:val="en-US" w:eastAsia="zh-CN" w:bidi="ar"/>
              </w:rPr>
            </w:pPr>
            <w:r>
              <w:rPr>
                <w:rFonts w:hint="default" w:ascii="楷体_GB2312" w:hAnsi="楷体_GB2312" w:eastAsia="楷体_GB2312" w:cs="楷体_GB2312"/>
                <w:b w:val="0"/>
                <w:bCs w:val="0"/>
                <w:color w:val="auto"/>
                <w:sz w:val="28"/>
                <w:szCs w:val="28"/>
                <w:highlight w:val="none"/>
                <w:lang w:val="en-US" w:eastAsia="zh-CN" w:bidi="ar"/>
              </w:rPr>
              <w:t>温州夜间消费服务供给扩容与提质惠民路径研究</w:t>
            </w:r>
          </w:p>
        </w:tc>
        <w:tc>
          <w:tcPr>
            <w:tcW w:w="6856" w:type="dxa"/>
            <w:vAlign w:val="center"/>
          </w:tcPr>
          <w:p w14:paraId="508E385F">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rPr>
                <w:rFonts w:hint="eastAsia" w:ascii="仿宋_GB2312" w:hAnsi="仿宋_GB2312" w:eastAsia="仿宋_GB2312" w:cs="仿宋_GB2312"/>
                <w:b w:val="0"/>
                <w:bCs/>
                <w:color w:val="auto"/>
                <w:sz w:val="32"/>
                <w:szCs w:val="32"/>
                <w:highlight w:val="none"/>
                <w:vertAlign w:val="baseline"/>
                <w:lang w:val="en-US" w:eastAsia="zh-CN" w:bidi="ar"/>
              </w:rPr>
            </w:pPr>
            <w:r>
              <w:rPr>
                <w:rFonts w:hint="eastAsia" w:ascii="仿宋_GB2312" w:hAnsi="仿宋_GB2312" w:eastAsia="仿宋_GB2312" w:cs="仿宋_GB2312"/>
                <w:b w:val="0"/>
                <w:bCs w:val="0"/>
                <w:color w:val="auto"/>
                <w:sz w:val="28"/>
                <w:szCs w:val="28"/>
                <w:highlight w:val="none"/>
                <w:lang w:val="en-US" w:eastAsia="zh-CN" w:bidi="ar"/>
              </w:rPr>
              <w:t>为贯彻落实全省服务业大会精神，进一步扩大优质服务供给，满足群众个性化、多样化、品质化服务消费需求，紧扣扩大温州夜间服务消费增量、提升消费可及性与普惠水平的目标，重点对当前夜间消费供给结构中医疗健康服务、体育休闲等尚未充分开发的业态品类进行系统挖掘与可行性评估，梳理医疗机构夜门诊、社区健康驿站延时服务、夜间运动场馆开放、公共体育设施夜间运营等新场景落地的空间条件与支撑保障，探索健康咨询、中医理疗、运动康复、夜间赛事、社区健身指导等新兴服务在夜间的融合供给模式，同时兼顾餐饮、文娱等配套业态的协同发展，研究从单一餐饮驱动向“健康+体育+社交”复合型夜间体验转变的可行路径，提出兼顾扩容目标与惠民导向的政策建议，推动夜间消费从“少数人的享受”转变为“多数人的福利”，为促进温州服务消费“新供给”培育、“新赛道”开拓、“新模式”发展、“新场景”打造提供参考依据。</w:t>
            </w:r>
          </w:p>
        </w:tc>
      </w:tr>
      <w:tr w14:paraId="76D3812E">
        <w:trPr>
          <w:trHeight w:val="5070" w:hRule="atLeast"/>
          <w:jc w:val="center"/>
        </w:trPr>
        <w:tc>
          <w:tcPr>
            <w:tcW w:w="931" w:type="dxa"/>
            <w:vAlign w:val="center"/>
          </w:tcPr>
          <w:p w14:paraId="4D3728B0">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28"/>
                <w:szCs w:val="28"/>
                <w:highlight w:val="none"/>
                <w:vertAlign w:val="baseline"/>
                <w:lang w:val="en-US" w:eastAsia="zh-CN" w:bidi="ar"/>
              </w:rPr>
            </w:pPr>
            <w:r>
              <w:rPr>
                <w:rFonts w:hint="eastAsia" w:ascii="Times New Roman" w:hAnsi="Times New Roman" w:eastAsia="仿宋_GB2312" w:cs="仿宋_GB2312"/>
                <w:color w:val="auto"/>
                <w:sz w:val="28"/>
                <w:szCs w:val="28"/>
                <w:highlight w:val="none"/>
                <w:vertAlign w:val="baseline"/>
                <w:lang w:val="en-US" w:eastAsia="zh-CN" w:bidi="ar"/>
              </w:rPr>
              <w:t>3</w:t>
            </w:r>
          </w:p>
        </w:tc>
        <w:tc>
          <w:tcPr>
            <w:tcW w:w="1654" w:type="dxa"/>
            <w:vAlign w:val="center"/>
          </w:tcPr>
          <w:p w14:paraId="356E10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both"/>
              <w:textAlignment w:val="auto"/>
              <w:rPr>
                <w:rFonts w:hint="default" w:ascii="楷体_GB2312" w:hAnsi="楷体_GB2312" w:eastAsia="楷体_GB2312" w:cs="楷体_GB2312"/>
                <w:b w:val="0"/>
                <w:bCs w:val="0"/>
                <w:color w:val="auto"/>
                <w:sz w:val="28"/>
                <w:szCs w:val="28"/>
                <w:highlight w:val="none"/>
                <w:lang w:val="en-US" w:eastAsia="zh-CN" w:bidi="ar"/>
              </w:rPr>
            </w:pPr>
            <w:r>
              <w:rPr>
                <w:rFonts w:hint="default" w:ascii="楷体_GB2312" w:hAnsi="楷体_GB2312" w:eastAsia="楷体_GB2312" w:cs="楷体_GB2312"/>
                <w:b w:val="0"/>
                <w:bCs w:val="0"/>
                <w:color w:val="auto"/>
                <w:sz w:val="28"/>
                <w:szCs w:val="28"/>
                <w:highlight w:val="none"/>
                <w:lang w:val="en-US" w:eastAsia="zh-CN" w:bidi="ar"/>
              </w:rPr>
              <w:t>基于三方协同的社区治理模式路径创新和改革重点</w:t>
            </w:r>
            <w:r>
              <w:rPr>
                <w:rFonts w:hint="eastAsia" w:ascii="楷体_GB2312" w:hAnsi="楷体_GB2312" w:eastAsia="楷体_GB2312" w:cs="楷体_GB2312"/>
                <w:b w:val="0"/>
                <w:bCs w:val="0"/>
                <w:color w:val="auto"/>
                <w:sz w:val="28"/>
                <w:szCs w:val="28"/>
                <w:highlight w:val="none"/>
                <w:lang w:val="en-US" w:eastAsia="zh-CN" w:bidi="ar"/>
              </w:rPr>
              <w:t>研究</w:t>
            </w:r>
          </w:p>
        </w:tc>
        <w:tc>
          <w:tcPr>
            <w:tcW w:w="6856" w:type="dxa"/>
            <w:vAlign w:val="center"/>
          </w:tcPr>
          <w:p w14:paraId="3DE70BB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
              </w:rPr>
            </w:pPr>
            <w:r>
              <w:rPr>
                <w:rFonts w:hint="eastAsia" w:ascii="仿宋_GB2312" w:hAnsi="仿宋_GB2312" w:eastAsia="仿宋_GB2312" w:cs="仿宋_GB2312"/>
                <w:b w:val="0"/>
                <w:bCs w:val="0"/>
                <w:color w:val="auto"/>
                <w:sz w:val="28"/>
                <w:szCs w:val="28"/>
                <w:highlight w:val="none"/>
                <w:lang w:val="en-US" w:eastAsia="zh-CN" w:bidi="ar"/>
              </w:rPr>
              <w:t>为贯彻落实国家《城市更新“十五五”规划》精神，聚焦温州当前物业管理覆盖面持续扩大、基层治理基础不断夯实，但老旧小区占比高、存量设施老化与居民高品质居住需求之间矛盾依然突出等现状，以构建物业企业、业委会与居委会三者良性互动关系为切入点，深入剖析当前社区治理中主体间权责交叉、互信不足、协同乏力等制约治理效能提升的深层体制机制障碍。重点围绕三者之间的权责边界厘定与制度化分工协作机制构建，紧扣居委会职能的有效发挥、业委会运作中的制度保障、物业企业服务供给与居民需求精准对接机制，以及三方协同的平台搭建和联动机制建立等关键环节，研究提出符合温州实际的三方协同共治创新路径，为温州基层社区治理模式创新、提升物业管理水平与社区治理效能提供科学依据与制度支撑。</w:t>
            </w:r>
          </w:p>
        </w:tc>
      </w:tr>
      <w:tr w14:paraId="563068CB">
        <w:trPr>
          <w:trHeight w:val="5070" w:hRule="atLeast"/>
          <w:jc w:val="center"/>
        </w:trPr>
        <w:tc>
          <w:tcPr>
            <w:tcW w:w="931" w:type="dxa"/>
            <w:vAlign w:val="center"/>
          </w:tcPr>
          <w:p w14:paraId="092EFA6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28"/>
                <w:szCs w:val="28"/>
                <w:highlight w:val="none"/>
                <w:vertAlign w:val="baseline"/>
                <w:lang w:val="en-US" w:eastAsia="zh-CN" w:bidi="ar"/>
              </w:rPr>
            </w:pPr>
            <w:r>
              <w:rPr>
                <w:rFonts w:hint="eastAsia" w:ascii="Times New Roman" w:hAnsi="Times New Roman" w:eastAsia="仿宋_GB2312" w:cs="仿宋_GB2312"/>
                <w:color w:val="auto"/>
                <w:sz w:val="28"/>
                <w:szCs w:val="28"/>
                <w:highlight w:val="none"/>
                <w:vertAlign w:val="baseline"/>
                <w:lang w:val="en-US" w:eastAsia="zh-CN" w:bidi="ar"/>
              </w:rPr>
              <w:t>4</w:t>
            </w:r>
          </w:p>
        </w:tc>
        <w:tc>
          <w:tcPr>
            <w:tcW w:w="1654" w:type="dxa"/>
            <w:vAlign w:val="center"/>
          </w:tcPr>
          <w:p w14:paraId="69A1DC7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both"/>
              <w:textAlignment w:val="auto"/>
              <w:rPr>
                <w:rFonts w:hint="default" w:ascii="楷体_GB2312" w:hAnsi="楷体_GB2312" w:eastAsia="楷体_GB2312" w:cs="楷体_GB2312"/>
                <w:b w:val="0"/>
                <w:bCs w:val="0"/>
                <w:color w:val="auto"/>
                <w:sz w:val="28"/>
                <w:szCs w:val="28"/>
                <w:highlight w:val="none"/>
                <w:lang w:val="en-US" w:eastAsia="zh-CN" w:bidi="ar"/>
              </w:rPr>
            </w:pPr>
            <w:r>
              <w:rPr>
                <w:rFonts w:hint="default" w:ascii="楷体_GB2312" w:hAnsi="楷体_GB2312" w:eastAsia="楷体_GB2312" w:cs="楷体_GB2312"/>
                <w:b w:val="0"/>
                <w:bCs w:val="0"/>
                <w:color w:val="auto"/>
                <w:sz w:val="28"/>
                <w:szCs w:val="28"/>
                <w:highlight w:val="none"/>
                <w:lang w:val="en-US" w:eastAsia="zh-CN" w:bidi="ar"/>
              </w:rPr>
              <w:t>城市更新中规划与土地政策创新的温州路径研究</w:t>
            </w:r>
          </w:p>
        </w:tc>
        <w:tc>
          <w:tcPr>
            <w:tcW w:w="6856" w:type="dxa"/>
            <w:vAlign w:val="center"/>
          </w:tcPr>
          <w:p w14:paraId="4969CEF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b w:val="0"/>
                <w:bCs w:val="0"/>
                <w:color w:val="auto"/>
                <w:sz w:val="28"/>
                <w:szCs w:val="28"/>
                <w:highlight w:val="none"/>
                <w:lang w:val="en-US" w:eastAsia="zh-CN" w:bidi="ar"/>
              </w:rPr>
            </w:pPr>
            <w:r>
              <w:rPr>
                <w:rFonts w:hint="eastAsia" w:ascii="仿宋_GB2312" w:hAnsi="仿宋_GB2312" w:eastAsia="仿宋_GB2312" w:cs="仿宋_GB2312"/>
                <w:b w:val="0"/>
                <w:bCs w:val="0"/>
                <w:color w:val="auto"/>
                <w:sz w:val="28"/>
                <w:szCs w:val="28"/>
                <w:highlight w:val="none"/>
                <w:lang w:val="en-US" w:eastAsia="zh-CN" w:bidi="ar"/>
              </w:rPr>
              <w:t>为贯彻落实国家《城市更新“十五五”规划》精神，系统梳理我市在社区更新、老旧小区改造及“工业上楼”等城市有机更新方面的典型案例与经验做法，针对更新项目中规划调整难、供地方式单一、产权归集复杂等共性瓶颈，在总结温州低效用地再开发试点成效的基础上，重点围绕规划管控弹性与容积率奖励机制展开研究，深入分析功能兼容、混合用地、临时利用、过渡期政策等供地工具在温州的适用场景与操作规则，评估老旧工业区改造容积率提升的实际效益。同时围绕产权归集路径、不动产登记制度创新及可持续投融资模式等关键改革举措，在借鉴江苏等地制度经验的基础上，研究提出符合温州实际的城市更新规划与土地政策创新路径，为温州完善城市更新政策工具箱、形成可复制可推广的制度经验提供支撑。</w:t>
            </w:r>
          </w:p>
        </w:tc>
      </w:tr>
      <w:bookmarkEnd w:id="2"/>
    </w:tbl>
    <w:p w14:paraId="60CD1305">
      <w:pPr>
        <w:keepNext w:val="0"/>
        <w:keepLines w:val="0"/>
        <w:pageBreakBefore w:val="0"/>
        <w:widowControl w:val="0"/>
        <w:kinsoku/>
        <w:overflowPunct/>
        <w:topLinePunct w:val="0"/>
        <w:autoSpaceDE/>
        <w:autoSpaceDN/>
        <w:bidi w:val="0"/>
        <w:adjustRightInd/>
        <w:snapToGrid/>
        <w:spacing w:line="560" w:lineRule="exact"/>
        <w:textAlignment w:val="auto"/>
      </w:pPr>
      <w:bookmarkStart w:id="3" w:name="_GoBack"/>
      <w:bookmarkEnd w:id="3"/>
    </w:p>
    <w:sectPr>
      <w:footerReference r:id="rId3" w:type="default"/>
      <w:pgSz w:w="11906" w:h="16838"/>
      <w:pgMar w:top="1814" w:right="1474" w:bottom="1814" w:left="1474" w:header="851" w:footer="992" w:gutter="0"/>
      <w:pgNumType w:fmt="numberInDash"/>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swiss"/>
    <w:pitch w:val="default"/>
    <w:sig w:usb0="00000000" w:usb1="00000000" w:usb2="00000016" w:usb3="00000000" w:csb0="0004001F" w:csb1="00000000"/>
  </w:font>
  <w:font w:name="仿宋_GB2312">
    <w:altName w:val="仿宋-简"/>
    <w:panose1 w:val="02010609030101010101"/>
    <w:charset w:val="86"/>
    <w:family w:val="auto"/>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等线">
    <w:altName w:val="汉仪中等线KW"/>
    <w:panose1 w:val="02010600030101010101"/>
    <w:charset w:val="86"/>
    <w:family w:val="auto"/>
    <w:pitch w:val="default"/>
    <w:sig w:usb0="00000000" w:usb1="00000000" w:usb2="00000016" w:usb3="00000000" w:csb0="0004000F" w:csb1="00000000"/>
  </w:font>
  <w:font w:name="Verdana">
    <w:panose1 w:val="020B0804030504040204"/>
    <w:charset w:val="00"/>
    <w:family w:val="swiss"/>
    <w:pitch w:val="default"/>
    <w:sig w:usb0="A10006FF" w:usb1="4000205B" w:usb2="00000010" w:usb3="00000000" w:csb0="2000019F" w:csb1="00000000"/>
  </w:font>
  <w:font w:name="方正小标宋简体">
    <w:altName w:val="汉仪书宋二KW"/>
    <w:panose1 w:val="02010601030101010101"/>
    <w:charset w:val="86"/>
    <w:family w:val="script"/>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EBA54">
    <w:pPr>
      <w:pStyle w:val="9"/>
      <w:jc w:val="center"/>
      <w:rPr>
        <w:rFonts w:ascii="宋体" w:hAnsi="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EC5B9">
                          <w:pPr>
                            <w:pStyle w:val="9"/>
                            <w:jc w:val="center"/>
                            <w:rPr>
                              <w:sz w:val="28"/>
                              <w:szCs w:val="28"/>
                            </w:rPr>
                          </w:pP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9CEC5B9">
                    <w:pPr>
                      <w:pStyle w:val="9"/>
                      <w:jc w:val="center"/>
                      <w:rPr>
                        <w:sz w:val="28"/>
                        <w:szCs w:val="28"/>
                      </w:rPr>
                    </w:pP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txbxContent>
              </v:textbox>
            </v:shape>
          </w:pict>
        </mc:Fallback>
      </mc:AlternateContent>
    </w:r>
  </w:p>
  <w:p w14:paraId="4FDFC155">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documentProtection w:enforcement="0"/>
  <w:defaultTabStop w:val="420"/>
  <w:drawingGridHorizontalSpacing w:val="105"/>
  <w:drawingGridVerticalSpacing w:val="315"/>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lM2E1OGNkNTU5OWQzNTJmMzIyZTlkYzZlYjRhZDAifQ=="/>
  </w:docVars>
  <w:rsids>
    <w:rsidRoot w:val="004611D0"/>
    <w:rsid w:val="00067835"/>
    <w:rsid w:val="000B1318"/>
    <w:rsid w:val="000C0DCE"/>
    <w:rsid w:val="00113A60"/>
    <w:rsid w:val="0013565A"/>
    <w:rsid w:val="001C7B50"/>
    <w:rsid w:val="00224E84"/>
    <w:rsid w:val="002274BF"/>
    <w:rsid w:val="002312AD"/>
    <w:rsid w:val="00242784"/>
    <w:rsid w:val="002A2DA6"/>
    <w:rsid w:val="002A78A0"/>
    <w:rsid w:val="002D6545"/>
    <w:rsid w:val="0032451F"/>
    <w:rsid w:val="00335957"/>
    <w:rsid w:val="00363A14"/>
    <w:rsid w:val="00384EFC"/>
    <w:rsid w:val="003976DE"/>
    <w:rsid w:val="003A0E30"/>
    <w:rsid w:val="003B485F"/>
    <w:rsid w:val="003C2545"/>
    <w:rsid w:val="00431C97"/>
    <w:rsid w:val="00451E40"/>
    <w:rsid w:val="004611D0"/>
    <w:rsid w:val="0054397B"/>
    <w:rsid w:val="00552955"/>
    <w:rsid w:val="005601C6"/>
    <w:rsid w:val="00594A83"/>
    <w:rsid w:val="005D457D"/>
    <w:rsid w:val="005F4567"/>
    <w:rsid w:val="0060153F"/>
    <w:rsid w:val="00680019"/>
    <w:rsid w:val="007E1AA3"/>
    <w:rsid w:val="007F0277"/>
    <w:rsid w:val="007F7CC0"/>
    <w:rsid w:val="00804FF4"/>
    <w:rsid w:val="00807852"/>
    <w:rsid w:val="00836B22"/>
    <w:rsid w:val="00864A8F"/>
    <w:rsid w:val="00870D7B"/>
    <w:rsid w:val="008720EA"/>
    <w:rsid w:val="00896BFA"/>
    <w:rsid w:val="00907AD2"/>
    <w:rsid w:val="00914434"/>
    <w:rsid w:val="00914598"/>
    <w:rsid w:val="00915E8A"/>
    <w:rsid w:val="009344DD"/>
    <w:rsid w:val="009C34D9"/>
    <w:rsid w:val="009E361E"/>
    <w:rsid w:val="00A01AA1"/>
    <w:rsid w:val="00A775A5"/>
    <w:rsid w:val="00B83A3E"/>
    <w:rsid w:val="00BB1EF1"/>
    <w:rsid w:val="00BB70B1"/>
    <w:rsid w:val="00BC60D0"/>
    <w:rsid w:val="00BC7CF8"/>
    <w:rsid w:val="00BD6F87"/>
    <w:rsid w:val="00BF1FC9"/>
    <w:rsid w:val="00C0686C"/>
    <w:rsid w:val="00C15364"/>
    <w:rsid w:val="00D0151D"/>
    <w:rsid w:val="00D033B0"/>
    <w:rsid w:val="00D05521"/>
    <w:rsid w:val="00D22BC4"/>
    <w:rsid w:val="00D45D5E"/>
    <w:rsid w:val="00E03EA3"/>
    <w:rsid w:val="00E61D01"/>
    <w:rsid w:val="00E704F1"/>
    <w:rsid w:val="00E97BE1"/>
    <w:rsid w:val="00F7637B"/>
    <w:rsid w:val="00F844EB"/>
    <w:rsid w:val="00FA20AF"/>
    <w:rsid w:val="05756CF1"/>
    <w:rsid w:val="05B95823"/>
    <w:rsid w:val="05EDE5F6"/>
    <w:rsid w:val="0B680FE9"/>
    <w:rsid w:val="0D8B2C26"/>
    <w:rsid w:val="0F6644C6"/>
    <w:rsid w:val="12906137"/>
    <w:rsid w:val="15F5735F"/>
    <w:rsid w:val="18243F2C"/>
    <w:rsid w:val="19790143"/>
    <w:rsid w:val="1ABB4235"/>
    <w:rsid w:val="1F1955A8"/>
    <w:rsid w:val="1FB407D1"/>
    <w:rsid w:val="1FDA4D77"/>
    <w:rsid w:val="20244762"/>
    <w:rsid w:val="203F7FD8"/>
    <w:rsid w:val="21C10CB2"/>
    <w:rsid w:val="22D5021D"/>
    <w:rsid w:val="234D15C2"/>
    <w:rsid w:val="23DE0177"/>
    <w:rsid w:val="281D36C1"/>
    <w:rsid w:val="28E2307D"/>
    <w:rsid w:val="2AB159E0"/>
    <w:rsid w:val="2B096921"/>
    <w:rsid w:val="2B75075B"/>
    <w:rsid w:val="2CFE66AD"/>
    <w:rsid w:val="310022B2"/>
    <w:rsid w:val="32801585"/>
    <w:rsid w:val="331E5D9F"/>
    <w:rsid w:val="356E2E57"/>
    <w:rsid w:val="35C83816"/>
    <w:rsid w:val="36BE56D7"/>
    <w:rsid w:val="37597EF7"/>
    <w:rsid w:val="377753E2"/>
    <w:rsid w:val="37FE60D4"/>
    <w:rsid w:val="3A4C00F7"/>
    <w:rsid w:val="3BDFC7E3"/>
    <w:rsid w:val="3D76D31F"/>
    <w:rsid w:val="3D78C098"/>
    <w:rsid w:val="3F1831CE"/>
    <w:rsid w:val="3F225A43"/>
    <w:rsid w:val="3F3256E1"/>
    <w:rsid w:val="3FF922BC"/>
    <w:rsid w:val="420F4FAA"/>
    <w:rsid w:val="44240717"/>
    <w:rsid w:val="46A75312"/>
    <w:rsid w:val="46CD5D20"/>
    <w:rsid w:val="49D56569"/>
    <w:rsid w:val="49FF8371"/>
    <w:rsid w:val="4A2D4E06"/>
    <w:rsid w:val="4BB63F8E"/>
    <w:rsid w:val="4DFC6EE5"/>
    <w:rsid w:val="4E7A5A66"/>
    <w:rsid w:val="4E7E51F2"/>
    <w:rsid w:val="51C94A6B"/>
    <w:rsid w:val="520B222A"/>
    <w:rsid w:val="523B341B"/>
    <w:rsid w:val="532D68CC"/>
    <w:rsid w:val="535E3F6B"/>
    <w:rsid w:val="53B57B4D"/>
    <w:rsid w:val="53FF1711"/>
    <w:rsid w:val="54D63F2F"/>
    <w:rsid w:val="55741A2B"/>
    <w:rsid w:val="56D975AB"/>
    <w:rsid w:val="57E3DC2D"/>
    <w:rsid w:val="57E61E19"/>
    <w:rsid w:val="596332B8"/>
    <w:rsid w:val="5A7DD13C"/>
    <w:rsid w:val="5AF1205B"/>
    <w:rsid w:val="5BDDE133"/>
    <w:rsid w:val="5EB77175"/>
    <w:rsid w:val="5EB7B615"/>
    <w:rsid w:val="5F333C9A"/>
    <w:rsid w:val="5FAB435A"/>
    <w:rsid w:val="61E31274"/>
    <w:rsid w:val="63ED006A"/>
    <w:rsid w:val="66308B6D"/>
    <w:rsid w:val="67A85759"/>
    <w:rsid w:val="692A5A2B"/>
    <w:rsid w:val="6B752211"/>
    <w:rsid w:val="6BE64A08"/>
    <w:rsid w:val="6BFFC92E"/>
    <w:rsid w:val="6FD663FA"/>
    <w:rsid w:val="6FE727CD"/>
    <w:rsid w:val="707D0379"/>
    <w:rsid w:val="71203010"/>
    <w:rsid w:val="71593570"/>
    <w:rsid w:val="71BD912B"/>
    <w:rsid w:val="71FE8633"/>
    <w:rsid w:val="72AADEF3"/>
    <w:rsid w:val="73FE0B25"/>
    <w:rsid w:val="74336111"/>
    <w:rsid w:val="74AD75A2"/>
    <w:rsid w:val="74DE7FE4"/>
    <w:rsid w:val="75026D05"/>
    <w:rsid w:val="75E94C85"/>
    <w:rsid w:val="75FFF272"/>
    <w:rsid w:val="766F5921"/>
    <w:rsid w:val="76773B26"/>
    <w:rsid w:val="767D30B8"/>
    <w:rsid w:val="767F19DD"/>
    <w:rsid w:val="768E174F"/>
    <w:rsid w:val="7697027F"/>
    <w:rsid w:val="76F9503A"/>
    <w:rsid w:val="77697885"/>
    <w:rsid w:val="78F9684A"/>
    <w:rsid w:val="794DAB3E"/>
    <w:rsid w:val="7B3759CC"/>
    <w:rsid w:val="7B5FCC32"/>
    <w:rsid w:val="7BE61FD6"/>
    <w:rsid w:val="7BFDB9C7"/>
    <w:rsid w:val="7C391559"/>
    <w:rsid w:val="7C877B5E"/>
    <w:rsid w:val="7CCF1107"/>
    <w:rsid w:val="7D6F481E"/>
    <w:rsid w:val="7DAFFE42"/>
    <w:rsid w:val="7DB7FB21"/>
    <w:rsid w:val="7DC2782C"/>
    <w:rsid w:val="7EBAEDE8"/>
    <w:rsid w:val="7EBFB8E4"/>
    <w:rsid w:val="7FB8742A"/>
    <w:rsid w:val="7FBFB280"/>
    <w:rsid w:val="7FDB118A"/>
    <w:rsid w:val="7FF53387"/>
    <w:rsid w:val="7FFF916B"/>
    <w:rsid w:val="7FFFC4DA"/>
    <w:rsid w:val="89736056"/>
    <w:rsid w:val="9E9D8E45"/>
    <w:rsid w:val="9EFFF6C6"/>
    <w:rsid w:val="AC5DE651"/>
    <w:rsid w:val="AF75389D"/>
    <w:rsid w:val="B5EF6D9C"/>
    <w:rsid w:val="BBB7A7ED"/>
    <w:rsid w:val="BBBBE3BA"/>
    <w:rsid w:val="BF4FA0B4"/>
    <w:rsid w:val="BF7EF628"/>
    <w:rsid w:val="BFF79C97"/>
    <w:rsid w:val="CFFFC340"/>
    <w:rsid w:val="D8EC3462"/>
    <w:rsid w:val="DBF54D42"/>
    <w:rsid w:val="DD40F699"/>
    <w:rsid w:val="DDDD2FE2"/>
    <w:rsid w:val="DFB8E4A7"/>
    <w:rsid w:val="DFD5316C"/>
    <w:rsid w:val="DFE91485"/>
    <w:rsid w:val="EDFB6C5E"/>
    <w:rsid w:val="EED791D2"/>
    <w:rsid w:val="EFFB3167"/>
    <w:rsid w:val="EFFD6D21"/>
    <w:rsid w:val="F2BE8911"/>
    <w:rsid w:val="F7975F48"/>
    <w:rsid w:val="F7FF163B"/>
    <w:rsid w:val="F7FF3BFE"/>
    <w:rsid w:val="F9DF5A24"/>
    <w:rsid w:val="FA974874"/>
    <w:rsid w:val="FAF763D3"/>
    <w:rsid w:val="FBDBAF86"/>
    <w:rsid w:val="FBFE291C"/>
    <w:rsid w:val="FD5FED4F"/>
    <w:rsid w:val="FEEE01CE"/>
    <w:rsid w:val="FEFD7F66"/>
    <w:rsid w:val="FFA6BF31"/>
    <w:rsid w:val="FFEF949F"/>
    <w:rsid w:val="FFFFF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2">
    <w:name w:val="heading 2"/>
    <w:basedOn w:val="1"/>
    <w:next w:val="1"/>
    <w:unhideWhenUsed/>
    <w:qFormat/>
    <w:uiPriority w:val="9"/>
    <w:pPr>
      <w:widowControl w:val="0"/>
      <w:spacing w:line="560" w:lineRule="exact"/>
      <w:ind w:firstLine="200" w:firstLineChars="200"/>
      <w:jc w:val="both"/>
      <w:outlineLvl w:val="1"/>
    </w:pPr>
    <w:rPr>
      <w:rFonts w:ascii="Times New Roman" w:hAnsi="Times New Roman" w:eastAsia="黑体" w:cs="Times New Roman"/>
      <w:kern w:val="2"/>
      <w:sz w:val="3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Body Text First Indent"/>
    <w:basedOn w:val="4"/>
    <w:next w:val="1"/>
    <w:qFormat/>
    <w:uiPriority w:val="0"/>
    <w:pPr>
      <w:widowControl/>
      <w:spacing w:line="351" w:lineRule="atLeast"/>
      <w:ind w:firstLine="420" w:firstLineChars="100"/>
      <w:textAlignment w:val="baseline"/>
    </w:pPr>
    <w:rPr>
      <w:rFonts w:ascii="Times New Roman" w:hAnsi="Times New Roman" w:cs="Times New Roman"/>
      <w:color w:val="000000"/>
      <w:kern w:val="0"/>
      <w:szCs w:val="20"/>
      <w:u w:color="000000"/>
    </w:rPr>
  </w:style>
  <w:style w:type="paragraph" w:styleId="6">
    <w:name w:val="Date"/>
    <w:basedOn w:val="1"/>
    <w:next w:val="1"/>
    <w:link w:val="23"/>
    <w:qFormat/>
    <w:uiPriority w:val="0"/>
    <w:pPr>
      <w:ind w:left="100" w:leftChars="2500"/>
    </w:pPr>
  </w:style>
  <w:style w:type="paragraph" w:styleId="7">
    <w:name w:val="endnote text"/>
    <w:basedOn w:val="1"/>
    <w:qFormat/>
    <w:uiPriority w:val="99"/>
  </w:style>
  <w:style w:type="paragraph" w:styleId="8">
    <w:name w:val="Balloon Text"/>
    <w:basedOn w:val="1"/>
    <w:link w:val="25"/>
    <w:qFormat/>
    <w:uiPriority w:val="0"/>
    <w:rPr>
      <w:sz w:val="18"/>
      <w:szCs w:val="18"/>
    </w:rPr>
  </w:style>
  <w:style w:type="paragraph" w:styleId="9">
    <w:name w:val="footer"/>
    <w:basedOn w:val="1"/>
    <w:link w:val="22"/>
    <w:qFormat/>
    <w:uiPriority w:val="0"/>
    <w:pPr>
      <w:tabs>
        <w:tab w:val="center" w:pos="4153"/>
        <w:tab w:val="right" w:pos="8306"/>
      </w:tabs>
      <w:snapToGrid w:val="0"/>
      <w:jc w:val="left"/>
    </w:pPr>
    <w:rPr>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1">
    <w:name w:val="footnote text"/>
    <w:basedOn w:val="1"/>
    <w:link w:val="24"/>
    <w:qFormat/>
    <w:uiPriority w:val="99"/>
    <w:pPr>
      <w:snapToGrid w:val="0"/>
      <w:jc w:val="left"/>
    </w:pPr>
    <w:rPr>
      <w:sz w:val="18"/>
      <w:szCs w:val="18"/>
    </w:rPr>
  </w:style>
  <w:style w:type="paragraph" w:styleId="12">
    <w:name w:val="Normal (Web)"/>
    <w:basedOn w:val="1"/>
    <w:qFormat/>
    <w:uiPriority w:val="99"/>
    <w:pPr>
      <w:jc w:val="left"/>
    </w:pPr>
    <w:rPr>
      <w:kern w:val="0"/>
      <w:sz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styleId="18">
    <w:name w:val="footnote reference"/>
    <w:basedOn w:val="15"/>
    <w:qFormat/>
    <w:uiPriority w:val="99"/>
    <w:rPr>
      <w:vertAlign w:val="superscript"/>
    </w:rPr>
  </w:style>
  <w:style w:type="paragraph" w:customStyle="1" w:styleId="19">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20">
    <w:name w:val="表格文字"/>
    <w:basedOn w:val="1"/>
    <w:next w:val="4"/>
    <w:qFormat/>
    <w:uiPriority w:val="0"/>
    <w:pPr>
      <w:adjustRightInd w:val="0"/>
      <w:spacing w:line="420" w:lineRule="atLeast"/>
      <w:jc w:val="left"/>
      <w:textAlignment w:val="baseline"/>
    </w:pPr>
    <w:rPr>
      <w:rFonts w:ascii="Times New Roman" w:hAnsi="Times New Roman" w:cs="Times New Roman"/>
      <w:kern w:val="0"/>
      <w:szCs w:val="24"/>
    </w:rPr>
  </w:style>
  <w:style w:type="character" w:customStyle="1" w:styleId="21">
    <w:name w:val="页眉 Char"/>
    <w:basedOn w:val="15"/>
    <w:link w:val="10"/>
    <w:qFormat/>
    <w:uiPriority w:val="99"/>
    <w:rPr>
      <w:sz w:val="18"/>
      <w:szCs w:val="18"/>
    </w:rPr>
  </w:style>
  <w:style w:type="character" w:customStyle="1" w:styleId="22">
    <w:name w:val="页脚 Char"/>
    <w:basedOn w:val="15"/>
    <w:link w:val="9"/>
    <w:qFormat/>
    <w:uiPriority w:val="0"/>
    <w:rPr>
      <w:sz w:val="18"/>
      <w:szCs w:val="18"/>
    </w:rPr>
  </w:style>
  <w:style w:type="character" w:customStyle="1" w:styleId="23">
    <w:name w:val="日期 Char"/>
    <w:basedOn w:val="15"/>
    <w:link w:val="6"/>
    <w:qFormat/>
    <w:uiPriority w:val="99"/>
  </w:style>
  <w:style w:type="character" w:customStyle="1" w:styleId="24">
    <w:name w:val="脚注文本 Char"/>
    <w:basedOn w:val="15"/>
    <w:link w:val="11"/>
    <w:qFormat/>
    <w:uiPriority w:val="99"/>
    <w:rPr>
      <w:sz w:val="18"/>
      <w:szCs w:val="18"/>
    </w:rPr>
  </w:style>
  <w:style w:type="character" w:customStyle="1" w:styleId="25">
    <w:name w:val="批注框文本 Char"/>
    <w:basedOn w:val="15"/>
    <w:link w:val="8"/>
    <w:qFormat/>
    <w:uiPriority w:val="99"/>
    <w:rPr>
      <w:sz w:val="18"/>
      <w:szCs w:val="18"/>
    </w:rPr>
  </w:style>
  <w:style w:type="paragraph" w:customStyle="1" w:styleId="26">
    <w:name w:val="正文首行缩进1"/>
    <w:basedOn w:val="4"/>
    <w:qFormat/>
    <w:uiPriority w:val="0"/>
    <w:pPr>
      <w:ind w:firstLine="200" w:firstLineChars="200"/>
    </w:pPr>
    <w:rPr>
      <w:rFonts w:eastAsia="仿宋_GB2312"/>
    </w:rPr>
  </w:style>
  <w:style w:type="paragraph" w:customStyle="1" w:styleId="27">
    <w:name w:val="Char"/>
    <w:basedOn w:val="1"/>
    <w:qFormat/>
    <w:uiPriority w:val="0"/>
    <w:rPr>
      <w:rFonts w:ascii="Times New Roman" w:hAnsi="Times New Roman" w:eastAsia="仿宋_GB2312" w:cs="Times New Roman"/>
      <w:szCs w:val="24"/>
    </w:rPr>
  </w:style>
  <w:style w:type="paragraph" w:customStyle="1" w:styleId="2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9">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szCs w:val="24"/>
      <w:lang w:eastAsia="en-US"/>
    </w:rPr>
  </w:style>
  <w:style w:type="paragraph" w:styleId="30">
    <w:name w:val="List Paragraph"/>
    <w:basedOn w:val="1"/>
    <w:unhideWhenUsed/>
    <w:qFormat/>
    <w:uiPriority w:val="99"/>
    <w:pPr>
      <w:ind w:firstLine="420" w:firstLineChars="200"/>
    </w:pPr>
  </w:style>
  <w:style w:type="paragraph" w:styleId="31">
    <w:name w:val="No Spacing"/>
    <w:qFormat/>
    <w:uiPriority w:val="1"/>
    <w:pPr>
      <w:widowControl w:val="0"/>
      <w:ind w:firstLine="640" w:firstLineChars="20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2797</Words>
  <Characters>2890</Characters>
  <Lines>8</Lines>
  <Paragraphs>2</Paragraphs>
  <TotalTime>18</TotalTime>
  <ScaleCrop>false</ScaleCrop>
  <LinksUpToDate>false</LinksUpToDate>
  <CharactersWithSpaces>2963</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2024-07-09T17:04:00Z</dcterms:created>
  <dc:creator>Apache POI</dc:creator>
  <cp:lastModifiedBy>Yang</cp:lastModifiedBy>
  <cp:lastPrinted>2026-07-22T11:31:00Z</cp:lastPrinted>
  <dcterms:modified xsi:type="dcterms:W3CDTF">2026-07-25T10:51:30Z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7FB5FD04B7CA62A133D15E6A283DBEB8</vt:lpwstr>
  </property>
  <property fmtid="{D5CDD505-2E9C-101B-9397-08002B2CF9AE}" pid="4" name="KSOTemplateDocerSaveRecord">
    <vt:lpwstr>eyJoZGlkIjoiYjViODA0Yzc1YjRjMmRlMjk0OGZlMmVmNTYxNmE3MTUiLCJ1c2VySWQiOiI2NTI2Nzc1NjEifQ==</vt:lpwstr>
  </property>
</Properties>
</file>