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bookmarkStart w:id="1" w:name="_GoBack"/>
      <w:bookmarkEnd w:id="1"/>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-1242695</wp:posOffset>
            </wp:positionH>
            <wp:positionV relativeFrom="paragraph">
              <wp:posOffset>-909320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r>
        <w:rPr>
          <w:rFonts w:hint="default" w:ascii="Times New Roman" w:hAnsi="Times New Roman" w:eastAsia="宋体" w:cs="Times New Roman"/>
          <w:color w:val="auto"/>
          <w:szCs w:val="24"/>
        </w:rPr>
        <w:br w:type="textWrapping"/>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温理工行政〔2024〕</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温州理工学院学科建设与科研业绩量化标准（试行）</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经2024年3月5日第59次校长办公会，2024年3月7日第79次党委会、</w:t>
      </w:r>
      <w:r>
        <w:rPr>
          <w:rFonts w:hint="default" w:ascii="Times New Roman" w:hAnsi="Times New Roman" w:eastAsia="仿宋_GB2312" w:cs="Times New Roman"/>
          <w:snapToGrid/>
          <w:color w:val="auto"/>
          <w:kern w:val="2"/>
          <w:sz w:val="32"/>
          <w:szCs w:val="32"/>
          <w:lang w:val="en-US" w:eastAsia="zh-CN"/>
        </w:rPr>
        <w:t>温州理工学院一届三次双代会</w:t>
      </w:r>
      <w:r>
        <w:rPr>
          <w:rFonts w:hint="default" w:ascii="Times New Roman" w:hAnsi="Times New Roman" w:eastAsia="仿宋_GB2312" w:cs="Times New Roman"/>
          <w:snapToGrid/>
          <w:color w:val="auto"/>
          <w:kern w:val="2"/>
          <w:sz w:val="32"/>
          <w:szCs w:val="32"/>
          <w:lang w:eastAsia="zh-CN"/>
        </w:rPr>
        <w:t>审议通过，现将《温州理工学院学科建设与科研业绩量化标准（试行）》印发给你们，请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eastAsia"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月</w:t>
      </w:r>
      <w:r>
        <w:rPr>
          <w:rFonts w:hint="default" w:ascii="Times New Roman" w:hAnsi="Times New Roman" w:eastAsia="仿宋_GB2312" w:cs="Times New Roman"/>
          <w:snapToGrid/>
          <w:color w:val="auto"/>
          <w:kern w:val="2"/>
          <w:sz w:val="32"/>
          <w:szCs w:val="28"/>
          <w:lang w:val="en-US" w:eastAsia="zh-CN"/>
        </w:rPr>
        <w:t>2</w:t>
      </w:r>
      <w:r>
        <w:rPr>
          <w:rFonts w:hint="default" w:ascii="Times New Roman" w:hAnsi="Times New Roman" w:eastAsia="仿宋_GB2312" w:cs="Times New Roman"/>
          <w:snapToGrid/>
          <w:color w:val="auto"/>
          <w:kern w:val="2"/>
          <w:sz w:val="32"/>
          <w:szCs w:val="28"/>
          <w:lang w:eastAsia="zh-CN"/>
        </w:rPr>
        <w:t>日</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autoSpaceDE/>
        <w:autoSpaceDN/>
        <w:bidi w:val="0"/>
        <w:textAlignment w:val="auto"/>
        <w:rPr>
          <w:rFonts w:hint="default" w:ascii="Times New Roman" w:hAnsi="Times New Roman" w:eastAsia="方正小标宋_GBK" w:cs="Times New Roman"/>
          <w:b w:val="0"/>
          <w:bCs w:val="0"/>
          <w:color w:val="auto"/>
          <w:szCs w:val="24"/>
          <w:lang w:eastAsia="zh-CN"/>
        </w:rPr>
      </w:pPr>
      <w:r>
        <w:rPr>
          <w:rFonts w:hint="default" w:ascii="Times New Roman" w:hAnsi="Times New Roman" w:eastAsia="方正小标宋_GBK" w:cs="Times New Roman"/>
          <w:b w:val="0"/>
          <w:bCs w:val="0"/>
          <w:color w:val="auto"/>
          <w:szCs w:val="24"/>
          <w:lang w:eastAsia="zh-CN"/>
        </w:rPr>
        <w:br w:type="page"/>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b w:val="0"/>
          <w:bCs w:val="0"/>
          <w:color w:val="auto"/>
          <w:spacing w:val="-4"/>
          <w:sz w:val="44"/>
          <w:szCs w:val="44"/>
          <w:highlight w:val="none"/>
          <w:lang w:val="en-US"/>
        </w:rPr>
      </w:pPr>
      <w:r>
        <w:rPr>
          <w:rFonts w:hint="default" w:ascii="Times New Roman" w:hAnsi="Times New Roman" w:eastAsia="方正小标宋_GBK" w:cs="Times New Roman"/>
          <w:b w:val="0"/>
          <w:bCs w:val="0"/>
          <w:color w:val="auto"/>
          <w:spacing w:val="-6"/>
          <w:kern w:val="44"/>
          <w:sz w:val="44"/>
          <w:szCs w:val="44"/>
          <w:highlight w:val="none"/>
          <w:lang w:val="en-US" w:eastAsia="zh-CN" w:bidi="en-US"/>
        </w:rPr>
        <w:t>温州理工学院学科</w:t>
      </w:r>
      <w:r>
        <w:rPr>
          <w:rFonts w:hint="default" w:ascii="Times New Roman" w:hAnsi="Times New Roman" w:eastAsia="方正小标宋_GBK" w:cs="Times New Roman"/>
          <w:spacing w:val="9"/>
          <w:sz w:val="44"/>
          <w:szCs w:val="44"/>
          <w:highlight w:val="none"/>
          <w:lang w:val="en-US" w:eastAsia="zh-CN"/>
        </w:rPr>
        <w:t>建设</w:t>
      </w:r>
      <w:r>
        <w:rPr>
          <w:rFonts w:hint="default" w:ascii="Times New Roman" w:hAnsi="Times New Roman" w:eastAsia="方正小标宋_GBK" w:cs="Times New Roman"/>
          <w:b w:val="0"/>
          <w:bCs w:val="0"/>
          <w:color w:val="auto"/>
          <w:spacing w:val="-6"/>
          <w:kern w:val="44"/>
          <w:sz w:val="44"/>
          <w:szCs w:val="44"/>
          <w:highlight w:val="none"/>
          <w:lang w:val="en-US" w:eastAsia="zh-CN" w:bidi="en-US"/>
        </w:rPr>
        <w:t>与科研业绩量化标准（试行）</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val="0"/>
          <w:bCs w:val="0"/>
          <w:spacing w:val="-4"/>
          <w:sz w:val="32"/>
          <w:szCs w:val="32"/>
          <w:highlight w:val="none"/>
          <w:lang w:val="en-US" w:eastAsia="zh-CN"/>
        </w:rPr>
      </w:pPr>
      <w:r>
        <w:rPr>
          <w:rFonts w:hint="default" w:ascii="Times New Roman" w:hAnsi="Times New Roman" w:eastAsia="仿宋_GB2312" w:cs="Times New Roman"/>
          <w:b w:val="0"/>
          <w:bCs w:val="0"/>
          <w:spacing w:val="-4"/>
          <w:sz w:val="32"/>
          <w:szCs w:val="32"/>
          <w:highlight w:val="none"/>
          <w:lang w:val="en-US" w:eastAsia="zh-CN"/>
        </w:rPr>
        <w:t>（2024年3月5日第59次校长办公会，2024年3月7日第79次党委会、温州理工学院一届三次双代会审议通过）</w:t>
      </w:r>
    </w:p>
    <w:p>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rPr>
      </w:pPr>
      <w:r>
        <w:rPr>
          <w:rFonts w:hint="default" w:ascii="Times New Roman" w:hAnsi="Times New Roman" w:eastAsia="黑体" w:cs="Times New Roman"/>
          <w:b w:val="0"/>
          <w:bCs w:val="0"/>
          <w:color w:val="auto"/>
          <w:spacing w:val="-4"/>
          <w:sz w:val="32"/>
          <w:szCs w:val="32"/>
          <w:highlight w:val="none"/>
        </w:rPr>
        <w:t>一、学科建设工作量化标准</w:t>
      </w:r>
      <w:bookmarkStart w:id="0" w:name="_bookmark12"/>
      <w:bookmarkEnd w:id="0"/>
    </w:p>
    <w:tbl>
      <w:tblPr>
        <w:tblStyle w:val="7"/>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35"/>
        <w:gridCol w:w="1760"/>
        <w:gridCol w:w="136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项目</w:t>
            </w:r>
          </w:p>
        </w:tc>
        <w:tc>
          <w:tcPr>
            <w:tcW w:w="37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增列工作</w:t>
            </w:r>
          </w:p>
        </w:tc>
        <w:tc>
          <w:tcPr>
            <w:tcW w:w="13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运行工作（每年）</w:t>
            </w:r>
          </w:p>
        </w:tc>
        <w:tc>
          <w:tcPr>
            <w:tcW w:w="16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建设期内工作（每年）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级别奖励</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经费分值奖励</w:t>
            </w:r>
          </w:p>
        </w:tc>
        <w:tc>
          <w:tcPr>
            <w:tcW w:w="13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16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浙江省A类一流学科</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10000</w:t>
            </w:r>
          </w:p>
        </w:tc>
        <w:tc>
          <w:tcPr>
            <w:tcW w:w="17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根据上级部门资助经费，按照5分/万元计</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浙江省B类一流学科</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市一流学科</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500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硕士学位授予单位</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硕士学位授权建设单位</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硕士专业学位授权点</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2000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100*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省级创新团队</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6000</w:t>
            </w:r>
          </w:p>
        </w:tc>
        <w:tc>
          <w:tcPr>
            <w:tcW w:w="17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150*</w:t>
            </w:r>
          </w:p>
        </w:tc>
      </w:tr>
    </w:tbl>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说明：</w:t>
      </w:r>
      <w:r>
        <w:rPr>
          <w:rFonts w:hint="default" w:ascii="Times New Roman" w:hAnsi="Times New Roman" w:eastAsia="仿宋_GB2312" w:cs="Times New Roman"/>
          <w:color w:val="auto"/>
          <w:sz w:val="32"/>
          <w:szCs w:val="32"/>
          <w:highlight w:val="none"/>
          <w:lang w:val="en-US" w:eastAsia="zh-CN"/>
        </w:rPr>
        <w:t>跨学院联合申报的学位点、一流学科等平台，增列和运行工作量由牵头学院联合相关学院协商确定。</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rPr>
      </w:pPr>
      <w:r>
        <w:rPr>
          <w:rFonts w:hint="default" w:ascii="Times New Roman" w:hAnsi="Times New Roman" w:eastAsia="黑体" w:cs="Times New Roman"/>
          <w:b w:val="0"/>
          <w:bCs w:val="0"/>
          <w:color w:val="auto"/>
          <w:spacing w:val="-4"/>
          <w:sz w:val="32"/>
          <w:szCs w:val="32"/>
          <w:highlight w:val="none"/>
          <w:lang w:eastAsia="zh-CN"/>
        </w:rPr>
        <w:t>二</w:t>
      </w:r>
      <w:r>
        <w:rPr>
          <w:rFonts w:hint="default" w:ascii="Times New Roman" w:hAnsi="Times New Roman" w:eastAsia="黑体" w:cs="Times New Roman"/>
          <w:b w:val="0"/>
          <w:bCs w:val="0"/>
          <w:color w:val="auto"/>
          <w:spacing w:val="-4"/>
          <w:sz w:val="32"/>
          <w:szCs w:val="32"/>
          <w:highlight w:val="none"/>
        </w:rPr>
        <w:t>、理、工等学科类</w:t>
      </w:r>
      <w:r>
        <w:rPr>
          <w:rFonts w:hint="default" w:ascii="Times New Roman" w:hAnsi="Times New Roman" w:eastAsia="黑体" w:cs="Times New Roman"/>
          <w:b w:val="0"/>
          <w:bCs w:val="0"/>
          <w:color w:val="auto"/>
          <w:spacing w:val="-4"/>
          <w:sz w:val="32"/>
          <w:szCs w:val="32"/>
          <w:highlight w:val="none"/>
          <w:lang w:eastAsia="zh-CN"/>
        </w:rPr>
        <w:t>科研</w:t>
      </w:r>
      <w:r>
        <w:rPr>
          <w:rFonts w:hint="default" w:ascii="Times New Roman" w:hAnsi="Times New Roman" w:eastAsia="黑体" w:cs="Times New Roman"/>
          <w:b w:val="0"/>
          <w:bCs w:val="0"/>
          <w:color w:val="auto"/>
          <w:spacing w:val="-4"/>
          <w:sz w:val="32"/>
          <w:szCs w:val="32"/>
          <w:highlight w:val="none"/>
        </w:rPr>
        <w:t>量化标准</w:t>
      </w:r>
    </w:p>
    <w:tbl>
      <w:tblPr>
        <w:tblStyle w:val="9"/>
        <w:tblpPr w:leftFromText="180" w:rightFromText="180" w:vertAnchor="text" w:horzAnchor="page" w:tblpX="1686" w:tblpY="290"/>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
        <w:gridCol w:w="774"/>
        <w:gridCol w:w="1403"/>
        <w:gridCol w:w="883"/>
        <w:gridCol w:w="595"/>
        <w:gridCol w:w="1106"/>
        <w:gridCol w:w="585"/>
        <w:gridCol w:w="707"/>
        <w:gridCol w:w="1580"/>
      </w:tblGrid>
      <w:tr>
        <w:tblPrEx>
          <w:tblCellMar>
            <w:top w:w="0" w:type="dxa"/>
            <w:left w:w="0" w:type="dxa"/>
            <w:bottom w:w="0" w:type="dxa"/>
            <w:right w:w="0" w:type="dxa"/>
          </w:tblCellMar>
        </w:tblPrEx>
        <w:trPr>
          <w:trHeight w:val="454" w:hRule="atLeast"/>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5"/>
                <w:sz w:val="24"/>
                <w:szCs w:val="24"/>
                <w:highlight w:val="none"/>
              </w:rPr>
              <w:t>指标</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类(级)别奖励</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6"/>
                <w:sz w:val="24"/>
                <w:szCs w:val="24"/>
                <w:highlight w:val="none"/>
                <w:lang w:val="en-US" w:eastAsia="zh-CN"/>
              </w:rPr>
              <w:t>经费分值奖励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0"/>
                <w:sz w:val="24"/>
                <w:szCs w:val="24"/>
                <w:highlight w:val="none"/>
              </w:rPr>
            </w:pPr>
            <w:r>
              <w:rPr>
                <w:rFonts w:hint="default" w:ascii="Times New Roman" w:hAnsi="Times New Roman" w:eastAsia="仿宋_GB2312" w:cs="Times New Roman"/>
                <w:color w:val="auto"/>
                <w:spacing w:val="10"/>
                <w:sz w:val="24"/>
                <w:szCs w:val="24"/>
                <w:highlight w:val="none"/>
              </w:rPr>
              <w:t>纵向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r>
              <w:rPr>
                <w:rFonts w:hint="default" w:ascii="Times New Roman" w:hAnsi="Times New Roman" w:eastAsia="仿宋_GB2312" w:cs="Times New Roman"/>
                <w:color w:val="auto"/>
                <w:spacing w:val="-6"/>
                <w:sz w:val="24"/>
                <w:szCs w:val="24"/>
                <w:highlight w:val="none"/>
              </w:rPr>
              <w:t>项目</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一类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10000</w:t>
            </w:r>
          </w:p>
        </w:tc>
        <w:tc>
          <w:tcPr>
            <w:tcW w:w="287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val="0"/>
                <w:bCs w:val="0"/>
                <w:color w:val="auto"/>
                <w:kern w:val="2"/>
                <w:sz w:val="24"/>
                <w:szCs w:val="24"/>
                <w:highlight w:val="none"/>
                <w:lang w:val="en-US" w:eastAsia="zh-CN" w:bidi="ar-SA"/>
              </w:rPr>
              <w:t>根据到校经费，按照5分/万元计。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二类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4500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三类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spacing w:val="-2"/>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3700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eastAsia="zh-CN"/>
              </w:rPr>
              <w:t>四类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2300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五类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1600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六类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七类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八类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100（重点）、50（一般）</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九类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w:t>
            </w:r>
            <w:r>
              <w:rPr>
                <w:rFonts w:hint="default"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color w:val="auto"/>
                <w:sz w:val="24"/>
                <w:szCs w:val="24"/>
                <w:highlight w:val="none"/>
                <w:lang w:val="en-US" w:eastAsia="zh-CN"/>
              </w:rPr>
              <w:t>（重点）、15</w:t>
            </w:r>
            <w:r>
              <w:rPr>
                <w:rFonts w:hint="default"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color w:val="auto"/>
                <w:sz w:val="24"/>
                <w:szCs w:val="24"/>
                <w:highlight w:val="none"/>
                <w:lang w:val="en-US" w:eastAsia="zh-CN"/>
              </w:rPr>
              <w:t>（一般）</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5"/>
                <w:sz w:val="24"/>
                <w:szCs w:val="24"/>
                <w:highlight w:val="none"/>
              </w:rPr>
              <w:t>指标</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类(级)别奖励</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pacing w:val="-6"/>
                <w:sz w:val="24"/>
                <w:szCs w:val="24"/>
                <w:highlight w:val="none"/>
                <w:lang w:val="en-US" w:eastAsia="zh-CN"/>
              </w:rPr>
              <w:t>经费分值奖励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横向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r>
              <w:rPr>
                <w:rFonts w:hint="default" w:ascii="Times New Roman" w:hAnsi="Times New Roman" w:eastAsia="仿宋_GB2312" w:cs="Times New Roman"/>
                <w:color w:val="auto"/>
                <w:sz w:val="24"/>
                <w:szCs w:val="24"/>
                <w:highlight w:val="none"/>
                <w:lang w:val="en-US" w:eastAsia="zh-CN"/>
              </w:rPr>
              <w:t>项目</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8000</w:t>
            </w:r>
          </w:p>
        </w:tc>
        <w:tc>
          <w:tcPr>
            <w:tcW w:w="287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根据到校经费，按照5分/万元计。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3500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600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≥20万</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lang w:val="en-US" w:eastAsia="zh-CN"/>
              </w:rPr>
            </w:pPr>
            <w:r>
              <w:rPr>
                <w:rFonts w:hint="default" w:ascii="Times New Roman" w:hAnsi="Times New Roman" w:eastAsia="仿宋_GB2312" w:cs="Times New Roman"/>
                <w:color w:val="auto"/>
                <w:spacing w:val="5"/>
                <w:sz w:val="24"/>
                <w:szCs w:val="24"/>
                <w:highlight w:val="none"/>
                <w:lang w:val="en-US" w:eastAsia="zh-CN"/>
              </w:rPr>
              <w:t>学术</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5"/>
                <w:sz w:val="24"/>
                <w:szCs w:val="24"/>
                <w:highlight w:val="none"/>
              </w:rPr>
              <w:t>论文</w:t>
            </w: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snapToGrid w:val="0"/>
                <w:color w:val="auto"/>
                <w:kern w:val="0"/>
                <w:sz w:val="24"/>
                <w:szCs w:val="24"/>
                <w:highlight w:val="none"/>
                <w:lang w:val="en-US" w:eastAsia="zh-CN"/>
              </w:rPr>
              <w:t>Science/Nature/Cell及国际公认的同级别刊物论文</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snapToGrid w:val="0"/>
                <w:color w:val="auto"/>
                <w:kern w:val="0"/>
                <w:sz w:val="24"/>
                <w:szCs w:val="24"/>
                <w:highlight w:val="none"/>
                <w:lang w:val="en-US" w:eastAsia="zh-CN"/>
              </w:rPr>
              <w:t>Science/Nature/Cell子刊</w:t>
            </w:r>
            <w:r>
              <w:rPr>
                <w:rFonts w:hint="default" w:ascii="Times New Roman" w:hAnsi="Times New Roman" w:eastAsia="仿宋_GB2312" w:cs="Times New Roman"/>
                <w:color w:val="auto"/>
                <w:spacing w:val="0"/>
                <w:sz w:val="24"/>
                <w:szCs w:val="24"/>
                <w:highlight w:val="none"/>
                <w:lang w:val="en-US" w:eastAsia="zh-CN"/>
              </w:rPr>
              <w:t>及</w:t>
            </w:r>
            <w:r>
              <w:rPr>
                <w:rFonts w:hint="default" w:ascii="Times New Roman" w:hAnsi="Times New Roman" w:eastAsia="仿宋_GB2312" w:cs="Times New Roman"/>
                <w:snapToGrid w:val="0"/>
                <w:color w:val="auto"/>
                <w:kern w:val="0"/>
                <w:sz w:val="24"/>
                <w:szCs w:val="24"/>
                <w:highlight w:val="none"/>
                <w:lang w:val="en-US" w:eastAsia="zh-CN"/>
              </w:rPr>
              <w:t>国际公认的同级别刊物子刊论文</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snapToGrid w:val="0"/>
                <w:color w:val="auto"/>
                <w:kern w:val="0"/>
                <w:sz w:val="24"/>
                <w:szCs w:val="24"/>
                <w:highlight w:val="none"/>
                <w:lang w:val="en-US" w:eastAsia="zh-CN"/>
              </w:rPr>
              <w:t>Nature index收录期刊论文</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权威期刊</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SCI一</w:t>
            </w:r>
            <w:r>
              <w:rPr>
                <w:rFonts w:hint="default" w:ascii="Times New Roman" w:hAnsi="Times New Roman" w:eastAsia="仿宋_GB2312" w:cs="Times New Roman"/>
                <w:color w:val="auto"/>
                <w:spacing w:val="4"/>
                <w:sz w:val="24"/>
                <w:szCs w:val="24"/>
                <w:highlight w:val="none"/>
                <w:lang w:val="en-US" w:eastAsia="zh-CN"/>
              </w:rPr>
              <w:t>区</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SCI二</w:t>
            </w:r>
            <w:r>
              <w:rPr>
                <w:rFonts w:hint="default" w:ascii="Times New Roman" w:hAnsi="Times New Roman" w:eastAsia="仿宋_GB2312" w:cs="Times New Roman"/>
                <w:color w:val="auto"/>
                <w:spacing w:val="4"/>
                <w:sz w:val="24"/>
                <w:szCs w:val="24"/>
                <w:highlight w:val="none"/>
                <w:lang w:val="en-US" w:eastAsia="zh-CN"/>
              </w:rPr>
              <w:t>区</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SCI三</w:t>
            </w:r>
            <w:r>
              <w:rPr>
                <w:rFonts w:hint="default" w:ascii="Times New Roman" w:hAnsi="Times New Roman" w:eastAsia="仿宋_GB2312" w:cs="Times New Roman"/>
                <w:color w:val="auto"/>
                <w:spacing w:val="4"/>
                <w:sz w:val="24"/>
                <w:szCs w:val="24"/>
                <w:highlight w:val="none"/>
                <w:lang w:val="en-US" w:eastAsia="zh-CN"/>
              </w:rPr>
              <w:t>区</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一级期刊</w:t>
            </w:r>
            <w:r>
              <w:rPr>
                <w:rFonts w:hint="default" w:ascii="Times New Roman" w:hAnsi="Times New Roman" w:eastAsia="仿宋_GB2312" w:cs="Times New Roman"/>
                <w:color w:val="auto"/>
                <w:spacing w:val="1"/>
                <w:sz w:val="24"/>
                <w:szCs w:val="24"/>
                <w:highlight w:val="none"/>
                <w:lang w:eastAsia="zh-CN"/>
              </w:rPr>
              <w:t>（含</w:t>
            </w:r>
            <w:r>
              <w:rPr>
                <w:rFonts w:hint="default" w:ascii="Times New Roman" w:hAnsi="Times New Roman" w:eastAsia="仿宋_GB2312" w:cs="Times New Roman"/>
                <w:color w:val="auto"/>
                <w:spacing w:val="1"/>
                <w:sz w:val="24"/>
                <w:szCs w:val="24"/>
                <w:highlight w:val="none"/>
                <w:lang w:val="en-US" w:eastAsia="zh-CN"/>
              </w:rPr>
              <w:t>SCI四</w:t>
            </w:r>
            <w:r>
              <w:rPr>
                <w:rFonts w:hint="default" w:ascii="Times New Roman" w:hAnsi="Times New Roman" w:eastAsia="仿宋_GB2312" w:cs="Times New Roman"/>
                <w:color w:val="auto"/>
                <w:spacing w:val="4"/>
                <w:sz w:val="24"/>
                <w:szCs w:val="24"/>
                <w:highlight w:val="none"/>
                <w:lang w:val="en-US" w:eastAsia="zh-CN"/>
              </w:rPr>
              <w:t>区</w:t>
            </w:r>
            <w:r>
              <w:rPr>
                <w:rFonts w:hint="default" w:ascii="Times New Roman" w:hAnsi="Times New Roman" w:eastAsia="仿宋_GB2312" w:cs="Times New Roman"/>
                <w:color w:val="auto"/>
                <w:spacing w:val="1"/>
                <w:sz w:val="24"/>
                <w:szCs w:val="24"/>
                <w:highlight w:val="none"/>
                <w:lang w:val="en-US" w:eastAsia="zh-CN"/>
              </w:rPr>
              <w:t>、EI收录期刊论文（不包括单页短文）及学校规定的其他一级期刊</w:t>
            </w:r>
            <w:r>
              <w:rPr>
                <w:rFonts w:hint="default" w:ascii="Times New Roman" w:hAnsi="Times New Roman" w:eastAsia="仿宋_GB2312" w:cs="Times New Roman"/>
                <w:color w:val="auto"/>
                <w:spacing w:val="1"/>
                <w:sz w:val="24"/>
                <w:szCs w:val="24"/>
                <w:highlight w:val="none"/>
                <w:lang w:eastAsia="zh-CN"/>
              </w:rPr>
              <w:t>）</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二级A</w:t>
            </w:r>
            <w:r>
              <w:rPr>
                <w:rFonts w:hint="default" w:ascii="Times New Roman" w:hAnsi="Times New Roman" w:eastAsia="仿宋_GB2312" w:cs="Times New Roman"/>
                <w:color w:val="auto"/>
                <w:spacing w:val="4"/>
                <w:sz w:val="24"/>
                <w:szCs w:val="24"/>
                <w:highlight w:val="none"/>
                <w:lang w:eastAsia="zh-CN"/>
              </w:rPr>
              <w:t>期刊</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二级B</w:t>
            </w:r>
            <w:r>
              <w:rPr>
                <w:rFonts w:hint="default" w:ascii="Times New Roman" w:hAnsi="Times New Roman" w:eastAsia="仿宋_GB2312" w:cs="Times New Roman"/>
                <w:color w:val="auto"/>
                <w:spacing w:val="4"/>
                <w:sz w:val="24"/>
                <w:szCs w:val="24"/>
                <w:highlight w:val="none"/>
                <w:lang w:eastAsia="zh-CN"/>
              </w:rPr>
              <w:t>期刊</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rPr>
              <w:t>三级</w:t>
            </w:r>
            <w:r>
              <w:rPr>
                <w:rFonts w:hint="default" w:ascii="Times New Roman" w:hAnsi="Times New Roman" w:eastAsia="仿宋_GB2312" w:cs="Times New Roman"/>
                <w:color w:val="auto"/>
                <w:spacing w:val="4"/>
                <w:sz w:val="24"/>
                <w:szCs w:val="24"/>
                <w:highlight w:val="none"/>
                <w:lang w:eastAsia="zh-CN"/>
              </w:rPr>
              <w:t>期刊（含</w:t>
            </w:r>
            <w:r>
              <w:rPr>
                <w:rFonts w:hint="default" w:ascii="Times New Roman" w:hAnsi="Times New Roman" w:eastAsia="仿宋_GB2312" w:cs="Times New Roman"/>
                <w:color w:val="auto"/>
                <w:spacing w:val="4"/>
                <w:sz w:val="24"/>
                <w:szCs w:val="24"/>
                <w:highlight w:val="none"/>
                <w:lang w:val="en-US" w:eastAsia="zh-CN"/>
              </w:rPr>
              <w:t>CPCI收录论文、EI收录会议论文、公开出版的论文集收录论文</w:t>
            </w:r>
            <w:r>
              <w:rPr>
                <w:rFonts w:hint="default" w:ascii="Times New Roman" w:hAnsi="Times New Roman" w:eastAsia="仿宋_GB2312" w:cs="Times New Roman"/>
                <w:color w:val="auto"/>
                <w:spacing w:val="4"/>
                <w:sz w:val="24"/>
                <w:szCs w:val="24"/>
                <w:highlight w:val="none"/>
                <w:lang w:eastAsia="zh-CN"/>
              </w:rPr>
              <w:t>）</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学术</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著作</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rPr>
              <w:t>类(级)别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1"/>
                <w:sz w:val="24"/>
                <w:szCs w:val="24"/>
                <w:highlight w:val="none"/>
              </w:rPr>
              <w:t>A类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500</w:t>
            </w:r>
          </w:p>
        </w:tc>
        <w:tc>
          <w:tcPr>
            <w:tcW w:w="287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1.著作级别按照学校学术期刊（著作）定级标准划分。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2.D级（不包含D）以下学术著作计50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3.编著计80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4.主编并公开出版论文集计50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5.古籍整理、学术译著参照学术著作计分，但最高级别为C级。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1"/>
                <w:sz w:val="24"/>
                <w:szCs w:val="24"/>
                <w:highlight w:val="none"/>
              </w:rPr>
              <w:t>B类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350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2"/>
                <w:sz w:val="24"/>
                <w:szCs w:val="24"/>
                <w:highlight w:val="none"/>
              </w:rPr>
              <w:t>C类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D类</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5"/>
                <w:sz w:val="24"/>
                <w:szCs w:val="24"/>
                <w:highlight w:val="none"/>
              </w:rPr>
              <w:t>知识</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产权</w:t>
            </w:r>
          </w:p>
        </w:tc>
        <w:tc>
          <w:tcPr>
            <w:tcW w:w="21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pacing w:val="-4"/>
                <w:sz w:val="24"/>
                <w:szCs w:val="24"/>
                <w:highlight w:val="none"/>
              </w:rPr>
              <w:t>类(级)别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rPr>
            </w:pP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pacing w:val="-2"/>
                <w:sz w:val="24"/>
                <w:szCs w:val="24"/>
                <w:highlight w:val="none"/>
              </w:rPr>
              <w:t>授权</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pacing w:val="-3"/>
                <w:sz w:val="24"/>
                <w:szCs w:val="24"/>
                <w:highlight w:val="none"/>
              </w:rPr>
              <w:t>转化</w:t>
            </w:r>
          </w:p>
        </w:tc>
        <w:tc>
          <w:tcPr>
            <w:tcW w:w="287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1"/>
                <w:sz w:val="24"/>
                <w:szCs w:val="24"/>
                <w:highlight w:val="none"/>
                <w:lang w:val="en-US" w:eastAsia="zh-CN"/>
              </w:rPr>
              <w:t>除美国、欧洲、日本外，其它国家或地区的PCT发明专利按国家发明专利计分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
                <w:sz w:val="24"/>
                <w:szCs w:val="24"/>
                <w:highlight w:val="none"/>
                <w:lang w:val="en-US" w:eastAsia="zh-CN"/>
              </w:rPr>
              <w:t>PCT</w:t>
            </w:r>
            <w:r>
              <w:rPr>
                <w:rFonts w:hint="default" w:ascii="Times New Roman" w:hAnsi="Times New Roman" w:eastAsia="仿宋_GB2312" w:cs="Times New Roman"/>
                <w:color w:val="auto"/>
                <w:spacing w:val="1"/>
                <w:sz w:val="24"/>
                <w:szCs w:val="24"/>
                <w:highlight w:val="none"/>
              </w:rPr>
              <w:t>专利</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300</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200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lang w:val="en-US" w:eastAsia="zh-CN"/>
              </w:rPr>
              <w:t>国家</w:t>
            </w:r>
            <w:r>
              <w:rPr>
                <w:rFonts w:hint="default" w:ascii="Times New Roman" w:hAnsi="Times New Roman" w:eastAsia="仿宋_GB2312" w:cs="Times New Roman"/>
                <w:color w:val="auto"/>
                <w:spacing w:val="2"/>
                <w:sz w:val="24"/>
                <w:szCs w:val="24"/>
                <w:highlight w:val="none"/>
              </w:rPr>
              <w:t>发明专利</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90</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60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实用新型专利</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外观设计专利</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
                <w:sz w:val="24"/>
                <w:szCs w:val="24"/>
                <w:highlight w:val="none"/>
              </w:rPr>
              <w:t>计算机软件著作权登记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6</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标准</w:t>
            </w: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2"/>
                <w:sz w:val="24"/>
                <w:szCs w:val="24"/>
                <w:highlight w:val="none"/>
                <w:lang w:val="en-US" w:eastAsia="zh-CN"/>
              </w:rPr>
            </w:pPr>
            <w:r>
              <w:rPr>
                <w:rFonts w:hint="default" w:ascii="Times New Roman" w:hAnsi="Times New Roman" w:eastAsia="仿宋_GB2312" w:cs="Times New Roman"/>
                <w:b/>
                <w:bCs/>
                <w:color w:val="auto"/>
                <w:spacing w:val="-4"/>
                <w:sz w:val="24"/>
                <w:szCs w:val="24"/>
                <w:highlight w:val="none"/>
              </w:rPr>
              <w:t>类(级)别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c>
          <w:tcPr>
            <w:tcW w:w="28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11"/>
                <w:sz w:val="24"/>
                <w:szCs w:val="24"/>
                <w:highlight w:val="none"/>
                <w:lang w:val="en-US" w:eastAsia="zh-CN"/>
              </w:rPr>
            </w:pPr>
            <w:r>
              <w:rPr>
                <w:rFonts w:hint="default" w:ascii="Times New Roman" w:hAnsi="Times New Roman" w:eastAsia="仿宋_GB2312" w:cs="Times New Roman"/>
                <w:b/>
                <w:bCs/>
                <w:color w:val="auto"/>
                <w:spacing w:val="-11"/>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国际</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2000</w:t>
            </w:r>
          </w:p>
        </w:tc>
        <w:tc>
          <w:tcPr>
            <w:tcW w:w="2872"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1"/>
                <w:sz w:val="24"/>
                <w:szCs w:val="24"/>
                <w:highlight w:val="none"/>
                <w:lang w:val="en-US" w:eastAsia="zh-CN"/>
              </w:rPr>
              <w:t>温州理工学院为第一起草单位，主持编写并正式发布的标准。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国家(强制性)</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国家(推荐性)</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600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3"/>
                <w:sz w:val="24"/>
                <w:szCs w:val="24"/>
                <w:highlight w:val="none"/>
              </w:rPr>
              <w:t>行业</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80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1"/>
                <w:sz w:val="24"/>
                <w:szCs w:val="24"/>
                <w:highlight w:val="none"/>
              </w:rPr>
              <w:t>全国性团体、省级</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60</w:t>
            </w:r>
          </w:p>
        </w:tc>
        <w:tc>
          <w:tcPr>
            <w:tcW w:w="2872"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eastAsia="zh-CN"/>
              </w:rPr>
            </w:pPr>
            <w:r>
              <w:rPr>
                <w:rFonts w:hint="default" w:ascii="Times New Roman" w:hAnsi="Times New Roman" w:eastAsia="仿宋_GB2312" w:cs="Times New Roman"/>
                <w:color w:val="auto"/>
                <w:spacing w:val="-3"/>
                <w:sz w:val="24"/>
                <w:szCs w:val="24"/>
                <w:highlight w:val="none"/>
                <w:lang w:eastAsia="zh-CN"/>
              </w:rPr>
              <w:t>科技</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3"/>
                <w:sz w:val="24"/>
                <w:szCs w:val="24"/>
                <w:highlight w:val="none"/>
                <w:lang w:eastAsia="zh-CN"/>
              </w:rPr>
              <w:t>平台</w:t>
            </w:r>
          </w:p>
        </w:tc>
        <w:tc>
          <w:tcPr>
            <w:tcW w:w="21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类</w:t>
            </w:r>
            <w:r>
              <w:rPr>
                <w:rFonts w:hint="default" w:ascii="Times New Roman" w:hAnsi="Times New Roman" w:eastAsia="仿宋_GB2312" w:cs="Times New Roman"/>
                <w:b/>
                <w:bCs/>
                <w:color w:val="auto"/>
                <w:sz w:val="24"/>
                <w:szCs w:val="24"/>
                <w:highlight w:val="none"/>
                <w:lang w:val="en-US" w:eastAsia="zh-CN"/>
              </w:rPr>
              <w:t>(级）</w:t>
            </w:r>
            <w:r>
              <w:rPr>
                <w:rFonts w:hint="default" w:ascii="Times New Roman" w:hAnsi="Times New Roman" w:eastAsia="仿宋_GB2312" w:cs="Times New Roman"/>
                <w:b/>
                <w:bCs/>
                <w:color w:val="auto"/>
                <w:sz w:val="24"/>
                <w:szCs w:val="24"/>
                <w:highlight w:val="none"/>
                <w:lang w:eastAsia="zh-CN"/>
              </w:rPr>
              <w:t>别</w:t>
            </w:r>
          </w:p>
        </w:tc>
        <w:tc>
          <w:tcPr>
            <w:tcW w:w="25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增列</w:t>
            </w:r>
          </w:p>
        </w:tc>
        <w:tc>
          <w:tcPr>
            <w:tcW w:w="129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eastAsia="zh-CN"/>
              </w:rPr>
              <w:t>运行</w:t>
            </w:r>
            <w:r>
              <w:rPr>
                <w:rFonts w:hint="default" w:ascii="Times New Roman" w:hAnsi="Times New Roman" w:eastAsia="仿宋_GB2312" w:cs="Times New Roman"/>
                <w:b/>
                <w:bCs/>
                <w:color w:val="auto"/>
                <w:sz w:val="24"/>
                <w:szCs w:val="24"/>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b/>
                <w:bCs/>
                <w:color w:val="auto"/>
                <w:sz w:val="24"/>
                <w:szCs w:val="24"/>
                <w:highlight w:val="none"/>
                <w:lang w:eastAsia="zh-CN"/>
              </w:rPr>
              <w:t>（每年）</w:t>
            </w:r>
          </w:p>
        </w:tc>
        <w:tc>
          <w:tcPr>
            <w:tcW w:w="15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建设期内工作</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级别奖励</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经费分值奖励</w:t>
            </w:r>
          </w:p>
        </w:tc>
        <w:tc>
          <w:tcPr>
            <w:tcW w:w="12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5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省部级科技平台A类</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10000</w:t>
            </w:r>
          </w:p>
        </w:tc>
        <w:tc>
          <w:tcPr>
            <w:tcW w:w="11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根据上级部门资助经费，按照5分/万元计</w:t>
            </w: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省部级科技平台B类</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150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市级科技平台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校级</w:t>
            </w:r>
            <w:r>
              <w:rPr>
                <w:rFonts w:hint="default" w:ascii="Times New Roman" w:hAnsi="Times New Roman" w:eastAsia="仿宋_GB2312" w:cs="Times New Roman"/>
                <w:color w:val="auto"/>
                <w:sz w:val="24"/>
                <w:szCs w:val="24"/>
                <w:highlight w:val="none"/>
                <w:lang w:val="en-US" w:eastAsia="zh-CN"/>
              </w:rPr>
              <w:t>科技平台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0"/>
                <w:w w:val="100"/>
                <w:sz w:val="24"/>
                <w:szCs w:val="24"/>
                <w:highlight w:val="none"/>
                <w:lang w:eastAsia="zh-CN"/>
              </w:rPr>
              <w:t>与校外单位合作的科研服务型平台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省级博士创新站</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市级博士创新站</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省级科普教育基地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400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1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市级科普教育基地</w:t>
            </w:r>
          </w:p>
        </w:tc>
        <w:tc>
          <w:tcPr>
            <w:tcW w:w="14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p>
        </w:tc>
        <w:tc>
          <w:tcPr>
            <w:tcW w:w="11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lang w:eastAsia="zh-CN"/>
              </w:rPr>
              <w:t>获奖</w:t>
            </w:r>
          </w:p>
        </w:tc>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2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pacing w:val="3"/>
                <w:sz w:val="24"/>
                <w:szCs w:val="24"/>
                <w:highlight w:val="none"/>
                <w:lang w:eastAsia="zh-CN"/>
              </w:rPr>
              <w:t>国家科学技术奖</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eastAsia="zh-CN"/>
              </w:rPr>
            </w:pPr>
            <w:r>
              <w:rPr>
                <w:rFonts w:hint="default" w:ascii="Times New Roman" w:hAnsi="Times New Roman" w:eastAsia="仿宋_GB2312" w:cs="Times New Roman"/>
                <w:b/>
                <w:bCs/>
                <w:color w:val="auto"/>
                <w:spacing w:val="6"/>
                <w:sz w:val="24"/>
                <w:szCs w:val="24"/>
                <w:highlight w:val="none"/>
                <w:lang w:eastAsia="zh-CN"/>
              </w:rPr>
              <w:t>教育部高等学校科学研究优秀成果奖（科学技术）</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eastAsia="zh-CN"/>
              </w:rPr>
            </w:pPr>
            <w:r>
              <w:rPr>
                <w:rFonts w:hint="default" w:ascii="Times New Roman" w:hAnsi="Times New Roman" w:eastAsia="仿宋_GB2312" w:cs="Times New Roman"/>
                <w:b/>
                <w:bCs/>
                <w:color w:val="auto"/>
                <w:spacing w:val="3"/>
                <w:sz w:val="24"/>
                <w:szCs w:val="24"/>
                <w:highlight w:val="none"/>
                <w:lang w:eastAsia="zh-CN"/>
              </w:rPr>
              <w:t>省科学技术奖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一等</w:t>
            </w:r>
          </w:p>
        </w:tc>
        <w:tc>
          <w:tcPr>
            <w:tcW w:w="22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20000</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8000</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二等</w:t>
            </w:r>
          </w:p>
        </w:tc>
        <w:tc>
          <w:tcPr>
            <w:tcW w:w="22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10000</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5000</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三等</w:t>
            </w:r>
          </w:p>
        </w:tc>
        <w:tc>
          <w:tcPr>
            <w:tcW w:w="22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217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3"/>
                <w:sz w:val="24"/>
                <w:szCs w:val="24"/>
                <w:highlight w:val="none"/>
                <w:lang w:eastAsia="zh-CN"/>
              </w:rPr>
              <w:t>国家科学技术部准予登记具有推荐国家科学技术奖励资格的社会力量设立的科技奖</w:t>
            </w:r>
          </w:p>
        </w:tc>
        <w:tc>
          <w:tcPr>
            <w:tcW w:w="31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获奖等级</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kern w:val="2"/>
                <w:sz w:val="24"/>
                <w:szCs w:val="24"/>
                <w:highlight w:val="none"/>
                <w:lang w:val="en-US" w:eastAsia="zh-CN" w:bidi="ar-SA"/>
              </w:rPr>
              <w:t>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color w:val="auto"/>
                <w:sz w:val="24"/>
                <w:szCs w:val="24"/>
                <w:highlight w:val="none"/>
                <w:lang w:eastAsia="zh-CN"/>
              </w:rPr>
            </w:pPr>
          </w:p>
        </w:tc>
        <w:tc>
          <w:tcPr>
            <w:tcW w:w="31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一等</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pacing w:val="3"/>
                <w:sz w:val="24"/>
                <w:szCs w:val="24"/>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p>
        </w:tc>
        <w:tc>
          <w:tcPr>
            <w:tcW w:w="31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二等</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pacing w:val="3"/>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8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217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eastAsia="zh-CN"/>
              </w:rPr>
            </w:pPr>
          </w:p>
        </w:tc>
        <w:tc>
          <w:tcPr>
            <w:tcW w:w="31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eastAsia="zh-CN"/>
              </w:rPr>
            </w:pPr>
            <w:r>
              <w:rPr>
                <w:rFonts w:hint="default" w:ascii="Times New Roman" w:hAnsi="Times New Roman" w:eastAsia="仿宋_GB2312" w:cs="Times New Roman"/>
                <w:color w:val="auto"/>
                <w:spacing w:val="-1"/>
                <w:sz w:val="24"/>
                <w:szCs w:val="24"/>
                <w:highlight w:val="none"/>
                <w:lang w:eastAsia="zh-CN"/>
              </w:rPr>
              <w:t>三等</w:t>
            </w:r>
          </w:p>
        </w:tc>
        <w:tc>
          <w:tcPr>
            <w:tcW w:w="22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rPr>
            </w:pPr>
            <w:r>
              <w:rPr>
                <w:rFonts w:hint="default" w:ascii="Times New Roman" w:hAnsi="Times New Roman" w:eastAsia="仿宋_GB2312" w:cs="Times New Roman"/>
                <w:color w:val="auto"/>
                <w:spacing w:val="3"/>
                <w:sz w:val="24"/>
                <w:szCs w:val="24"/>
                <w:highlight w:val="none"/>
                <w:lang w:val="en-US" w:eastAsia="zh-CN"/>
              </w:rPr>
              <w:t>300</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lang w:eastAsia="zh-CN"/>
        </w:rPr>
      </w:pPr>
      <w:r>
        <w:rPr>
          <w:rFonts w:hint="default" w:ascii="Times New Roman" w:hAnsi="Times New Roman" w:eastAsia="黑体" w:cs="Times New Roman"/>
          <w:b w:val="0"/>
          <w:bCs w:val="0"/>
          <w:color w:val="auto"/>
          <w:spacing w:val="-4"/>
          <w:sz w:val="32"/>
          <w:szCs w:val="32"/>
          <w:highlight w:val="none"/>
          <w:lang w:eastAsia="zh-CN"/>
        </w:rPr>
        <w:t>三、人文、社科等学科类科研量化标准</w:t>
      </w:r>
    </w:p>
    <w:tbl>
      <w:tblPr>
        <w:tblStyle w:val="9"/>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
        <w:gridCol w:w="1288"/>
        <w:gridCol w:w="948"/>
        <w:gridCol w:w="111"/>
        <w:gridCol w:w="229"/>
        <w:gridCol w:w="149"/>
        <w:gridCol w:w="419"/>
        <w:gridCol w:w="720"/>
        <w:gridCol w:w="220"/>
        <w:gridCol w:w="192"/>
        <w:gridCol w:w="444"/>
        <w:gridCol w:w="432"/>
        <w:gridCol w:w="237"/>
        <w:gridCol w:w="642"/>
        <w:gridCol w:w="409"/>
        <w:gridCol w:w="17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pacing w:val="-5"/>
                <w:sz w:val="24"/>
                <w:szCs w:val="24"/>
                <w:highlight w:val="none"/>
              </w:rPr>
              <w:t>指标</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pacing w:val="-4"/>
                <w:sz w:val="24"/>
                <w:szCs w:val="24"/>
                <w:highlight w:val="none"/>
              </w:rPr>
              <w:t>类(级)别</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pacing w:val="-6"/>
                <w:sz w:val="24"/>
                <w:szCs w:val="24"/>
                <w:highlight w:val="none"/>
                <w:lang w:val="en-US" w:eastAsia="zh-CN"/>
              </w:rPr>
              <w:t>经费分值奖励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0"/>
                <w:sz w:val="24"/>
                <w:szCs w:val="24"/>
                <w:highlight w:val="none"/>
              </w:rPr>
            </w:pPr>
            <w:r>
              <w:rPr>
                <w:rFonts w:hint="default" w:ascii="Times New Roman" w:hAnsi="Times New Roman" w:eastAsia="仿宋_GB2312" w:cs="Times New Roman"/>
                <w:color w:val="auto"/>
                <w:spacing w:val="10"/>
                <w:sz w:val="24"/>
                <w:szCs w:val="24"/>
                <w:highlight w:val="none"/>
              </w:rPr>
              <w:t>纵向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项目</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一类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10000</w:t>
            </w:r>
          </w:p>
        </w:tc>
        <w:tc>
          <w:tcPr>
            <w:tcW w:w="2920"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kern w:val="2"/>
                <w:sz w:val="24"/>
                <w:szCs w:val="24"/>
                <w:highlight w:val="none"/>
                <w:lang w:val="en-US" w:eastAsia="zh-CN" w:bidi="ar-SA"/>
              </w:rPr>
              <w:t>根据到校经费，按照5分/万元计。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eastAsia="zh-CN"/>
              </w:rPr>
              <w:t>二类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4500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三类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3700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eastAsia="zh-CN"/>
              </w:rPr>
              <w:t>四类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2300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五类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
                <w:sz w:val="24"/>
                <w:szCs w:val="24"/>
                <w:highlight w:val="none"/>
                <w:lang w:val="en-US" w:eastAsia="zh-CN"/>
              </w:rPr>
              <w:t>1600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六类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七类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八类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100（重点）、50（一般）</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九类</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30</w:t>
            </w:r>
            <w:r>
              <w:rPr>
                <w:rFonts w:hint="default"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color w:val="auto"/>
                <w:sz w:val="24"/>
                <w:szCs w:val="24"/>
                <w:highlight w:val="none"/>
                <w:lang w:val="en-US" w:eastAsia="zh-CN"/>
              </w:rPr>
              <w:t>（重点）、15</w:t>
            </w:r>
            <w:r>
              <w:rPr>
                <w:rFonts w:hint="default"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color w:val="auto"/>
                <w:sz w:val="24"/>
                <w:szCs w:val="24"/>
                <w:highlight w:val="none"/>
                <w:lang w:val="en-US" w:eastAsia="zh-CN"/>
              </w:rPr>
              <w:t>（一般）</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横向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项目</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类(级)别奖励</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pacing w:val="-6"/>
                <w:sz w:val="24"/>
                <w:szCs w:val="24"/>
                <w:highlight w:val="none"/>
                <w:lang w:val="en-US" w:eastAsia="zh-CN"/>
              </w:rPr>
              <w:t>经费分值奖励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8000</w:t>
            </w:r>
          </w:p>
        </w:tc>
        <w:tc>
          <w:tcPr>
            <w:tcW w:w="2920"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val="0"/>
                <w:bCs w:val="0"/>
                <w:color w:val="auto"/>
                <w:kern w:val="2"/>
                <w:sz w:val="24"/>
                <w:szCs w:val="24"/>
                <w:highlight w:val="none"/>
                <w:lang w:val="en-US" w:eastAsia="zh-CN" w:bidi="ar-SA"/>
              </w:rPr>
              <w:t>根据到校经费，按照5分/万元计。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3500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2000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1500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≥10万</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15</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5"/>
                <w:sz w:val="24"/>
                <w:szCs w:val="24"/>
                <w:highlight w:val="none"/>
                <w:lang w:val="en-US" w:eastAsia="zh-CN"/>
              </w:rPr>
            </w:pPr>
            <w:r>
              <w:rPr>
                <w:rFonts w:hint="default" w:ascii="Times New Roman" w:hAnsi="Times New Roman" w:eastAsia="仿宋_GB2312" w:cs="Times New Roman"/>
                <w:color w:val="auto"/>
                <w:spacing w:val="5"/>
                <w:sz w:val="24"/>
                <w:szCs w:val="24"/>
                <w:highlight w:val="none"/>
                <w:lang w:val="en-US" w:eastAsia="zh-CN"/>
              </w:rPr>
              <w:t>学术</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5"/>
                <w:sz w:val="24"/>
                <w:szCs w:val="24"/>
                <w:highlight w:val="none"/>
              </w:rPr>
              <w:t>论文</w:t>
            </w: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eastAsia="zh-CN"/>
              </w:rPr>
              <w:t>《</w:t>
            </w:r>
            <w:r>
              <w:rPr>
                <w:rFonts w:hint="default" w:ascii="Times New Roman" w:hAnsi="Times New Roman" w:eastAsia="仿宋_GB2312" w:cs="Times New Roman"/>
                <w:color w:val="auto"/>
                <w:spacing w:val="1"/>
                <w:sz w:val="24"/>
                <w:szCs w:val="24"/>
                <w:highlight w:val="none"/>
              </w:rPr>
              <w:t>中国社会科学</w:t>
            </w:r>
            <w:r>
              <w:rPr>
                <w:rFonts w:hint="default" w:ascii="Times New Roman" w:hAnsi="Times New Roman" w:eastAsia="仿宋_GB2312" w:cs="Times New Roman"/>
                <w:color w:val="auto"/>
                <w:spacing w:val="1"/>
                <w:sz w:val="24"/>
                <w:szCs w:val="24"/>
                <w:highlight w:val="none"/>
                <w:lang w:eastAsia="zh-CN"/>
              </w:rPr>
              <w:t>》论文</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1"/>
                <w:sz w:val="24"/>
                <w:szCs w:val="24"/>
                <w:highlight w:val="none"/>
              </w:rPr>
              <w:t>权威期刊</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r>
              <w:rPr>
                <w:rFonts w:hint="default" w:ascii="Times New Roman" w:hAnsi="Times New Roman" w:eastAsia="仿宋_GB2312" w:cs="Times New Roman"/>
                <w:color w:val="auto"/>
                <w:spacing w:val="1"/>
                <w:sz w:val="24"/>
                <w:szCs w:val="24"/>
                <w:highlight w:val="none"/>
              </w:rPr>
              <w:t>SSCI</w:t>
            </w:r>
            <w:r>
              <w:rPr>
                <w:rFonts w:hint="default" w:ascii="Times New Roman" w:hAnsi="Times New Roman" w:eastAsia="仿宋_GB2312" w:cs="Times New Roman"/>
                <w:color w:val="auto"/>
                <w:spacing w:val="4"/>
                <w:sz w:val="24"/>
                <w:szCs w:val="24"/>
                <w:highlight w:val="none"/>
              </w:rPr>
              <w:t>一</w:t>
            </w:r>
            <w:r>
              <w:rPr>
                <w:rFonts w:hint="default" w:ascii="Times New Roman" w:hAnsi="Times New Roman" w:eastAsia="仿宋_GB2312" w:cs="Times New Roman"/>
                <w:color w:val="auto"/>
                <w:spacing w:val="1"/>
                <w:sz w:val="24"/>
                <w:szCs w:val="24"/>
                <w:highlight w:val="none"/>
              </w:rPr>
              <w:t>区</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highlight w:val="none"/>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eastAsia="zh-CN"/>
              </w:rPr>
            </w:pPr>
            <w:r>
              <w:rPr>
                <w:rFonts w:hint="default" w:ascii="Times New Roman" w:hAnsi="Times New Roman" w:eastAsia="仿宋_GB2312" w:cs="Times New Roman"/>
                <w:color w:val="auto"/>
                <w:spacing w:val="1"/>
                <w:sz w:val="24"/>
                <w:szCs w:val="24"/>
                <w:highlight w:val="none"/>
              </w:rPr>
              <w:t>SSCI</w:t>
            </w:r>
            <w:r>
              <w:rPr>
                <w:rFonts w:hint="default" w:ascii="Times New Roman" w:hAnsi="Times New Roman" w:eastAsia="仿宋_GB2312" w:cs="Times New Roman"/>
                <w:color w:val="auto"/>
                <w:spacing w:val="1"/>
                <w:sz w:val="24"/>
                <w:szCs w:val="24"/>
                <w:highlight w:val="none"/>
                <w:lang w:val="en-US" w:eastAsia="zh-CN"/>
              </w:rPr>
              <w:t>二</w:t>
            </w:r>
            <w:r>
              <w:rPr>
                <w:rFonts w:hint="default" w:ascii="Times New Roman" w:hAnsi="Times New Roman" w:eastAsia="仿宋_GB2312" w:cs="Times New Roman"/>
                <w:color w:val="auto"/>
                <w:spacing w:val="1"/>
                <w:sz w:val="24"/>
                <w:szCs w:val="24"/>
                <w:highlight w:val="none"/>
              </w:rPr>
              <w:t>区</w:t>
            </w:r>
            <w:r>
              <w:rPr>
                <w:rFonts w:hint="default" w:ascii="Times New Roman" w:hAnsi="Times New Roman" w:eastAsia="仿宋_GB2312" w:cs="Times New Roman"/>
                <w:color w:val="auto"/>
                <w:spacing w:val="1"/>
                <w:sz w:val="24"/>
                <w:szCs w:val="24"/>
                <w:highlight w:val="none"/>
                <w:lang w:eastAsia="zh-CN"/>
              </w:rPr>
              <w:t>、</w:t>
            </w:r>
            <w:r>
              <w:rPr>
                <w:rFonts w:hint="default" w:ascii="Times New Roman" w:hAnsi="Times New Roman" w:eastAsia="仿宋_GB2312" w:cs="Times New Roman"/>
                <w:color w:val="auto"/>
                <w:spacing w:val="1"/>
                <w:sz w:val="24"/>
                <w:szCs w:val="24"/>
                <w:highlight w:val="none"/>
              </w:rPr>
              <w:t>《新华文摘》《中国社会科学文摘》全文转载</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r>
              <w:rPr>
                <w:rFonts w:hint="default" w:ascii="Times New Roman" w:hAnsi="Times New Roman" w:eastAsia="仿宋_GB2312" w:cs="Times New Roman"/>
                <w:color w:val="auto"/>
                <w:spacing w:val="1"/>
                <w:sz w:val="24"/>
                <w:szCs w:val="24"/>
                <w:highlight w:val="none"/>
              </w:rPr>
              <w:t>SSCI</w:t>
            </w:r>
            <w:r>
              <w:rPr>
                <w:rFonts w:hint="default" w:ascii="Times New Roman" w:hAnsi="Times New Roman" w:eastAsia="仿宋_GB2312" w:cs="Times New Roman"/>
                <w:color w:val="auto"/>
                <w:spacing w:val="1"/>
                <w:sz w:val="24"/>
                <w:szCs w:val="24"/>
                <w:highlight w:val="none"/>
                <w:lang w:val="en-US" w:eastAsia="zh-CN"/>
              </w:rPr>
              <w:t>三</w:t>
            </w:r>
            <w:r>
              <w:rPr>
                <w:rFonts w:hint="default" w:ascii="Times New Roman" w:hAnsi="Times New Roman" w:eastAsia="仿宋_GB2312" w:cs="Times New Roman"/>
                <w:color w:val="auto"/>
                <w:spacing w:val="1"/>
                <w:sz w:val="24"/>
                <w:szCs w:val="24"/>
                <w:highlight w:val="none"/>
              </w:rPr>
              <w:t>区期刊</w:t>
            </w:r>
            <w:r>
              <w:rPr>
                <w:rFonts w:hint="default" w:ascii="Times New Roman" w:hAnsi="Times New Roman" w:eastAsia="仿宋_GB2312" w:cs="Times New Roman"/>
                <w:color w:val="auto"/>
                <w:spacing w:val="1"/>
                <w:sz w:val="24"/>
                <w:szCs w:val="24"/>
                <w:highlight w:val="none"/>
                <w:lang w:eastAsia="zh-CN"/>
              </w:rPr>
              <w:t>、</w:t>
            </w:r>
            <w:r>
              <w:rPr>
                <w:rFonts w:hint="default" w:ascii="Times New Roman" w:hAnsi="Times New Roman" w:eastAsia="仿宋_GB2312" w:cs="Times New Roman"/>
                <w:color w:val="auto"/>
                <w:spacing w:val="1"/>
                <w:sz w:val="24"/>
                <w:szCs w:val="24"/>
                <w:highlight w:val="none"/>
                <w:lang w:val="en-US" w:eastAsia="zh-CN"/>
              </w:rPr>
              <w:t>A</w:t>
            </w:r>
            <w:r>
              <w:rPr>
                <w:rFonts w:hint="default" w:ascii="Times New Roman" w:hAnsi="Times New Roman" w:cs="Times New Roman"/>
                <w:color w:val="auto"/>
                <w:szCs w:val="32"/>
                <w:highlight w:val="none"/>
              </w:rPr>
              <w:t>&amp;</w:t>
            </w:r>
            <w:r>
              <w:rPr>
                <w:rFonts w:hint="default" w:ascii="Times New Roman" w:hAnsi="Times New Roman" w:eastAsia="仿宋_GB2312" w:cs="Times New Roman"/>
                <w:color w:val="auto"/>
                <w:spacing w:val="1"/>
                <w:sz w:val="24"/>
                <w:szCs w:val="24"/>
                <w:highlight w:val="none"/>
                <w:lang w:val="en-US" w:eastAsia="zh-CN"/>
              </w:rPr>
              <w:t>HCI收录期刊</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rPr>
            </w:pPr>
            <w:r>
              <w:rPr>
                <w:rFonts w:hint="default" w:ascii="Times New Roman" w:hAnsi="Times New Roman" w:eastAsia="仿宋_GB2312" w:cs="Times New Roman"/>
                <w:color w:val="auto"/>
                <w:spacing w:val="1"/>
                <w:sz w:val="24"/>
                <w:szCs w:val="24"/>
                <w:highlight w:val="none"/>
                <w:lang w:val="en-US" w:eastAsia="zh-CN"/>
              </w:rPr>
              <w:t>SSCI四</w:t>
            </w:r>
            <w:r>
              <w:rPr>
                <w:rFonts w:hint="default" w:ascii="Times New Roman" w:hAnsi="Times New Roman" w:eastAsia="仿宋_GB2312" w:cs="Times New Roman"/>
                <w:color w:val="auto"/>
                <w:spacing w:val="4"/>
                <w:sz w:val="24"/>
                <w:szCs w:val="24"/>
                <w:highlight w:val="none"/>
                <w:lang w:val="en-US" w:eastAsia="zh-CN"/>
              </w:rPr>
              <w:t>区</w:t>
            </w:r>
            <w:r>
              <w:rPr>
                <w:rFonts w:hint="default" w:ascii="Times New Roman" w:hAnsi="Times New Roman" w:eastAsia="仿宋_GB2312" w:cs="Times New Roman"/>
                <w:color w:val="auto"/>
                <w:spacing w:val="1"/>
                <w:sz w:val="24"/>
                <w:szCs w:val="24"/>
                <w:highlight w:val="none"/>
                <w:lang w:val="en-US" w:eastAsia="zh-CN"/>
              </w:rPr>
              <w:t>及学校规定的其他人文社科权威学术期刊</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rPr>
              <w:t>一级期刊</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rPr>
              <w:t>二级A</w:t>
            </w:r>
            <w:r>
              <w:rPr>
                <w:rFonts w:hint="default" w:ascii="Times New Roman" w:hAnsi="Times New Roman" w:eastAsia="仿宋_GB2312" w:cs="Times New Roman"/>
                <w:color w:val="auto"/>
                <w:spacing w:val="4"/>
                <w:sz w:val="24"/>
                <w:szCs w:val="24"/>
                <w:highlight w:val="none"/>
                <w:lang w:eastAsia="zh-CN"/>
              </w:rPr>
              <w:t>期刊</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rPr>
              <w:t>二级B</w:t>
            </w:r>
            <w:r>
              <w:rPr>
                <w:rFonts w:hint="default" w:ascii="Times New Roman" w:hAnsi="Times New Roman" w:eastAsia="仿宋_GB2312" w:cs="Times New Roman"/>
                <w:color w:val="auto"/>
                <w:spacing w:val="4"/>
                <w:sz w:val="24"/>
                <w:szCs w:val="24"/>
                <w:highlight w:val="none"/>
                <w:lang w:eastAsia="zh-CN"/>
              </w:rPr>
              <w:t>期刊</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7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rPr>
              <w:t>三级</w:t>
            </w:r>
            <w:r>
              <w:rPr>
                <w:rFonts w:hint="default" w:ascii="Times New Roman" w:hAnsi="Times New Roman" w:eastAsia="仿宋_GB2312" w:cs="Times New Roman"/>
                <w:color w:val="auto"/>
                <w:spacing w:val="4"/>
                <w:sz w:val="24"/>
                <w:szCs w:val="24"/>
                <w:highlight w:val="none"/>
                <w:lang w:eastAsia="zh-CN"/>
              </w:rPr>
              <w:t>期刊（含</w:t>
            </w:r>
            <w:r>
              <w:rPr>
                <w:rFonts w:hint="default" w:ascii="Times New Roman" w:hAnsi="Times New Roman" w:eastAsia="仿宋_GB2312" w:cs="Times New Roman"/>
                <w:color w:val="auto"/>
                <w:spacing w:val="4"/>
                <w:sz w:val="24"/>
                <w:szCs w:val="24"/>
                <w:highlight w:val="none"/>
                <w:lang w:val="en-US" w:eastAsia="zh-CN"/>
              </w:rPr>
              <w:t>ISSHP收录论文、公开出版的论文集收录论文</w:t>
            </w:r>
            <w:r>
              <w:rPr>
                <w:rFonts w:hint="default" w:ascii="Times New Roman" w:hAnsi="Times New Roman" w:eastAsia="仿宋_GB2312" w:cs="Times New Roman"/>
                <w:color w:val="auto"/>
                <w:spacing w:val="4"/>
                <w:sz w:val="24"/>
                <w:szCs w:val="24"/>
                <w:highlight w:val="none"/>
                <w:lang w:eastAsia="zh-CN"/>
              </w:rPr>
              <w:t>）</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学术</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著作</w:t>
            </w:r>
          </w:p>
        </w:tc>
        <w:tc>
          <w:tcPr>
            <w:tcW w:w="2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199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类(级)别奖励</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1"/>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
                <w:sz w:val="24"/>
                <w:szCs w:val="24"/>
                <w:highlight w:val="none"/>
              </w:rPr>
              <w:t>A类</w:t>
            </w:r>
          </w:p>
        </w:tc>
        <w:tc>
          <w:tcPr>
            <w:tcW w:w="199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500</w:t>
            </w:r>
          </w:p>
        </w:tc>
        <w:tc>
          <w:tcPr>
            <w:tcW w:w="2920"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1.著作级别按照学校学术期刊（著作）定级标准划分。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2.D级（不包含D）以下学术著作计50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3.编著计80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4.主编并公开出版论文集计50</w:t>
            </w:r>
            <w:r>
              <w:rPr>
                <w:rFonts w:hint="default" w:ascii="Times New Roman" w:hAnsi="Times New Roman" w:eastAsia="仿宋_GB2312" w:cs="Times New Roman"/>
                <w:color w:val="auto"/>
                <w:spacing w:val="4"/>
                <w:sz w:val="24"/>
                <w:szCs w:val="24"/>
                <w:highlight w:val="none"/>
                <w:lang w:val="en-US" w:eastAsia="zh-CN"/>
              </w:rPr>
              <w:t>*</w:t>
            </w:r>
            <w:r>
              <w:rPr>
                <w:rFonts w:hint="default" w:ascii="Times New Roman" w:hAnsi="Times New Roman" w:eastAsia="仿宋_GB2312" w:cs="Times New Roman"/>
                <w:color w:val="auto"/>
                <w:spacing w:val="-11"/>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color w:val="auto"/>
                <w:spacing w:val="-11"/>
                <w:sz w:val="24"/>
                <w:szCs w:val="24"/>
                <w:highlight w:val="none"/>
                <w:lang w:val="en-US" w:eastAsia="zh-CN"/>
              </w:rPr>
              <w:t>5.古籍整理、学术译著参照学术著作计分，但最高级别为C级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1"/>
                <w:sz w:val="24"/>
                <w:szCs w:val="24"/>
                <w:highlight w:val="none"/>
              </w:rPr>
              <w:t>B类</w:t>
            </w:r>
          </w:p>
        </w:tc>
        <w:tc>
          <w:tcPr>
            <w:tcW w:w="199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350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2"/>
                <w:sz w:val="24"/>
                <w:szCs w:val="24"/>
                <w:highlight w:val="none"/>
              </w:rPr>
              <w:t>C类</w:t>
            </w:r>
          </w:p>
        </w:tc>
        <w:tc>
          <w:tcPr>
            <w:tcW w:w="199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D类</w:t>
            </w:r>
          </w:p>
        </w:tc>
        <w:tc>
          <w:tcPr>
            <w:tcW w:w="199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lang w:val="en-US" w:eastAsia="zh-CN"/>
              </w:rPr>
              <w:t>100</w:t>
            </w:r>
          </w:p>
        </w:tc>
        <w:tc>
          <w:tcPr>
            <w:tcW w:w="292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智库</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成果</w:t>
            </w: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批示</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kern w:val="2"/>
                <w:sz w:val="24"/>
                <w:szCs w:val="24"/>
                <w:highlight w:val="none"/>
                <w:lang w:val="en-US" w:eastAsia="zh-CN" w:bidi="ar-SA"/>
              </w:rPr>
            </w:pPr>
            <w:r>
              <w:rPr>
                <w:rFonts w:hint="default" w:ascii="Times New Roman" w:hAnsi="Times New Roman" w:eastAsia="仿宋_GB2312" w:cs="Times New Roman"/>
                <w:b/>
                <w:bCs/>
                <w:color w:val="auto"/>
                <w:spacing w:val="-4"/>
                <w:sz w:val="24"/>
                <w:szCs w:val="24"/>
                <w:highlight w:val="none"/>
              </w:rPr>
              <w:t>类(级)别</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类(级)别奖励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正国级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副国级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正省级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副省级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正市级（温州市）</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val="0"/>
                <w:bCs w:val="0"/>
                <w:color w:val="auto"/>
                <w:spacing w:val="-1"/>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eastAsia="zh-CN"/>
              </w:rPr>
              <w:t>厅局级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eastAsia="zh-CN"/>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采纳</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国家级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省部级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厅局级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6"/>
                <w:position w:val="5"/>
                <w:sz w:val="24"/>
                <w:szCs w:val="24"/>
                <w:highlight w:val="none"/>
              </w:rPr>
            </w:pPr>
            <w:r>
              <w:rPr>
                <w:rFonts w:hint="default" w:ascii="Times New Roman" w:hAnsi="Times New Roman" w:eastAsia="仿宋_GB2312" w:cs="Times New Roman"/>
                <w:color w:val="auto"/>
                <w:spacing w:val="6"/>
                <w:position w:val="5"/>
                <w:sz w:val="24"/>
                <w:szCs w:val="24"/>
                <w:highlight w:val="none"/>
              </w:rPr>
              <w:t>成果</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3"/>
                <w:sz w:val="24"/>
                <w:szCs w:val="24"/>
                <w:highlight w:val="none"/>
              </w:rPr>
              <w:t>要报</w:t>
            </w: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国家级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省部级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rPr>
            </w:pPr>
          </w:p>
        </w:tc>
        <w:tc>
          <w:tcPr>
            <w:tcW w:w="12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val="en-US" w:eastAsia="zh-CN"/>
              </w:rPr>
            </w:pPr>
          </w:p>
        </w:tc>
        <w:tc>
          <w:tcPr>
            <w:tcW w:w="343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厅局级</w:t>
            </w:r>
          </w:p>
        </w:tc>
        <w:tc>
          <w:tcPr>
            <w:tcW w:w="2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1"/>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eastAsia="zh-CN"/>
              </w:rPr>
            </w:pPr>
            <w:r>
              <w:rPr>
                <w:rFonts w:hint="default" w:ascii="Times New Roman" w:hAnsi="Times New Roman" w:eastAsia="仿宋_GB2312" w:cs="Times New Roman"/>
                <w:color w:val="auto"/>
                <w:spacing w:val="-3"/>
                <w:sz w:val="24"/>
                <w:szCs w:val="24"/>
                <w:highlight w:val="none"/>
                <w:lang w:eastAsia="zh-CN"/>
              </w:rPr>
              <w:t>社科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3"/>
                <w:sz w:val="24"/>
                <w:szCs w:val="24"/>
                <w:highlight w:val="none"/>
                <w:lang w:eastAsia="zh-CN"/>
              </w:rPr>
              <w:t>平台</w:t>
            </w:r>
          </w:p>
        </w:tc>
        <w:tc>
          <w:tcPr>
            <w:tcW w:w="234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类</w:t>
            </w:r>
            <w:r>
              <w:rPr>
                <w:rFonts w:hint="default" w:ascii="Times New Roman" w:hAnsi="Times New Roman" w:eastAsia="仿宋_GB2312" w:cs="Times New Roman"/>
                <w:b/>
                <w:bCs/>
                <w:color w:val="auto"/>
                <w:sz w:val="24"/>
                <w:szCs w:val="24"/>
                <w:highlight w:val="none"/>
                <w:lang w:val="en-US" w:eastAsia="zh-CN"/>
              </w:rPr>
              <w:t>(级）</w:t>
            </w:r>
            <w:r>
              <w:rPr>
                <w:rFonts w:hint="default" w:ascii="Times New Roman" w:hAnsi="Times New Roman" w:eastAsia="仿宋_GB2312" w:cs="Times New Roman"/>
                <w:b/>
                <w:bCs/>
                <w:color w:val="auto"/>
                <w:sz w:val="24"/>
                <w:szCs w:val="24"/>
                <w:highlight w:val="none"/>
                <w:lang w:eastAsia="zh-CN"/>
              </w:rPr>
              <w:t>别</w:t>
            </w:r>
          </w:p>
        </w:tc>
        <w:tc>
          <w:tcPr>
            <w:tcW w:w="237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增列</w:t>
            </w:r>
          </w:p>
        </w:tc>
        <w:tc>
          <w:tcPr>
            <w:tcW w:w="1311"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eastAsia="zh-CN"/>
              </w:rPr>
              <w:t>运行</w:t>
            </w:r>
            <w:r>
              <w:rPr>
                <w:rFonts w:hint="default" w:ascii="Times New Roman" w:hAnsi="Times New Roman" w:eastAsia="仿宋_GB2312" w:cs="Times New Roman"/>
                <w:b/>
                <w:bCs/>
                <w:color w:val="auto"/>
                <w:sz w:val="24"/>
                <w:szCs w:val="24"/>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1"/>
                <w:sz w:val="24"/>
                <w:szCs w:val="24"/>
                <w:highlight w:val="none"/>
                <w:lang w:val="en-US" w:eastAsia="zh-CN"/>
              </w:rPr>
            </w:pPr>
            <w:r>
              <w:rPr>
                <w:rFonts w:hint="default" w:ascii="Times New Roman" w:hAnsi="Times New Roman" w:eastAsia="仿宋_GB2312" w:cs="Times New Roman"/>
                <w:b/>
                <w:bCs/>
                <w:color w:val="auto"/>
                <w:sz w:val="24"/>
                <w:szCs w:val="24"/>
                <w:highlight w:val="none"/>
                <w:lang w:eastAsia="zh-CN"/>
              </w:rPr>
              <w:t>（每年）</w:t>
            </w:r>
          </w:p>
        </w:tc>
        <w:tc>
          <w:tcPr>
            <w:tcW w:w="160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建设期内工作</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级别奖励</w:t>
            </w:r>
          </w:p>
        </w:tc>
        <w:tc>
          <w:tcPr>
            <w:tcW w:w="6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经费分值奖励</w:t>
            </w:r>
          </w:p>
        </w:tc>
        <w:tc>
          <w:tcPr>
            <w:tcW w:w="131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p>
        </w:tc>
        <w:tc>
          <w:tcPr>
            <w:tcW w:w="160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省部级社科平台A类</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10000</w:t>
            </w:r>
          </w:p>
        </w:tc>
        <w:tc>
          <w:tcPr>
            <w:tcW w:w="63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根据上级部门资助经费，按照5分/万元计</w:t>
            </w: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省部级社科平台B类</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150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市级社科平台</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校级</w:t>
            </w:r>
            <w:r>
              <w:rPr>
                <w:rFonts w:hint="default" w:ascii="Times New Roman" w:hAnsi="Times New Roman" w:eastAsia="仿宋_GB2312" w:cs="Times New Roman"/>
                <w:color w:val="auto"/>
                <w:sz w:val="24"/>
                <w:szCs w:val="24"/>
                <w:highlight w:val="none"/>
                <w:lang w:val="en-US" w:eastAsia="zh-CN"/>
              </w:rPr>
              <w:t>社科平台</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0"/>
                <w:w w:val="100"/>
                <w:sz w:val="24"/>
                <w:szCs w:val="24"/>
                <w:highlight w:val="none"/>
                <w:lang w:eastAsia="zh-CN"/>
              </w:rPr>
              <w:t>与校外单位合作的科研服务型平台</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r>
              <w:rPr>
                <w:rFonts w:hint="default" w:ascii="Times New Roman" w:hAnsi="Times New Roman" w:eastAsia="仿宋_GB2312" w:cs="Times New Roman"/>
                <w:color w:val="auto"/>
                <w:spacing w:val="-2"/>
                <w:sz w:val="24"/>
                <w:szCs w:val="24"/>
                <w:highlight w:val="none"/>
                <w:lang w:val="en-US" w:eastAsia="zh-CN"/>
              </w:rPr>
              <w:t>200</w:t>
            </w:r>
            <w:r>
              <w:rPr>
                <w:rFonts w:hint="default" w:ascii="Times New Roman" w:hAnsi="Times New Roman" w:eastAsia="仿宋_GB2312" w:cs="Times New Roman"/>
                <w:color w:val="auto"/>
                <w:spacing w:val="-2"/>
                <w:sz w:val="24"/>
                <w:szCs w:val="24"/>
                <w:highlight w:val="none"/>
              </w:rPr>
              <w:t>*</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2"/>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省级博士创新站</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市级博士创新站</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省级社科普及基地</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400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100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p>
        </w:tc>
        <w:tc>
          <w:tcPr>
            <w:tcW w:w="2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市级社科普及基地</w:t>
            </w:r>
          </w:p>
        </w:tc>
        <w:tc>
          <w:tcPr>
            <w:tcW w:w="173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p>
        </w:tc>
        <w:tc>
          <w:tcPr>
            <w:tcW w:w="6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13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3"/>
                <w:sz w:val="24"/>
                <w:szCs w:val="24"/>
                <w:highlight w:val="none"/>
              </w:rPr>
              <w:t>获奖</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p>
        </w:tc>
        <w:tc>
          <w:tcPr>
            <w:tcW w:w="27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6"/>
                <w:sz w:val="24"/>
                <w:szCs w:val="24"/>
                <w:highlight w:val="none"/>
                <w:lang w:eastAsia="zh-CN"/>
              </w:rPr>
              <w:t>教育部高等学校科学研究优秀成果奖（人文社科）</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6"/>
                <w:sz w:val="24"/>
                <w:szCs w:val="24"/>
                <w:highlight w:val="none"/>
                <w:lang w:eastAsia="zh-CN"/>
              </w:rPr>
              <w:t>省哲学社会科学优秀成果奖</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4"/>
                <w:sz w:val="24"/>
                <w:szCs w:val="24"/>
                <w:highlight w:val="none"/>
              </w:rPr>
            </w:pPr>
            <w:r>
              <w:rPr>
                <w:rFonts w:hint="default" w:ascii="Times New Roman" w:hAnsi="Times New Roman" w:eastAsia="仿宋_GB2312" w:cs="Times New Roman"/>
                <w:b/>
                <w:bCs/>
                <w:color w:val="auto"/>
                <w:spacing w:val="4"/>
                <w:sz w:val="24"/>
                <w:szCs w:val="24"/>
                <w:highlight w:val="none"/>
              </w:rPr>
              <w:t>厅局级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特等</w:t>
            </w:r>
          </w:p>
        </w:tc>
        <w:tc>
          <w:tcPr>
            <w:tcW w:w="27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8000</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6000</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一等</w:t>
            </w:r>
          </w:p>
        </w:tc>
        <w:tc>
          <w:tcPr>
            <w:tcW w:w="27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6000</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4000</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二等</w:t>
            </w:r>
          </w:p>
        </w:tc>
        <w:tc>
          <w:tcPr>
            <w:tcW w:w="27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4000</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2000</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三等</w:t>
            </w:r>
          </w:p>
        </w:tc>
        <w:tc>
          <w:tcPr>
            <w:tcW w:w="27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2000</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1000</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sz w:val="24"/>
                <w:szCs w:val="24"/>
                <w:highlight w:val="none"/>
                <w:lang w:val="en-US" w:eastAsia="zh-CN"/>
              </w:rPr>
            </w:pPr>
            <w:r>
              <w:rPr>
                <w:rFonts w:hint="default" w:ascii="Times New Roman" w:hAnsi="Times New Roman" w:eastAsia="仿宋_GB2312" w:cs="Times New Roman"/>
                <w:color w:val="auto"/>
                <w:spacing w:val="4"/>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408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eastAsia="zh-CN"/>
              </w:rPr>
            </w:pPr>
            <w:r>
              <w:rPr>
                <w:rFonts w:hint="default" w:ascii="Times New Roman" w:hAnsi="Times New Roman" w:eastAsia="仿宋_GB2312" w:cs="Times New Roman"/>
                <w:b/>
                <w:bCs/>
                <w:color w:val="auto"/>
                <w:sz w:val="24"/>
                <w:szCs w:val="24"/>
                <w:highlight w:val="none"/>
                <w:lang w:val="en-US" w:eastAsia="zh-CN"/>
              </w:rPr>
              <w:t>获奖类别</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lang w:val="en-US" w:eastAsia="zh-CN"/>
              </w:rPr>
              <w:t>获奖等级</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4084" w:type="dxa"/>
            <w:gridSpan w:val="8"/>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eastAsia="zh-CN"/>
              </w:rPr>
            </w:pPr>
            <w:r>
              <w:rPr>
                <w:rFonts w:hint="default" w:ascii="Times New Roman" w:hAnsi="Times New Roman" w:eastAsia="仿宋_GB2312" w:cs="Times New Roman"/>
                <w:color w:val="auto"/>
                <w:spacing w:val="3"/>
                <w:sz w:val="24"/>
                <w:szCs w:val="24"/>
                <w:highlight w:val="none"/>
              </w:rPr>
              <w:t>全国教育科学研究优秀成果奖</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一等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3"/>
                <w:sz w:val="24"/>
                <w:szCs w:val="24"/>
                <w:highlight w:val="none"/>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二等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pacing w:val="3"/>
                <w:sz w:val="24"/>
                <w:szCs w:val="24"/>
                <w:highlight w:val="none"/>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kern w:val="2"/>
                <w:sz w:val="24"/>
                <w:szCs w:val="24"/>
                <w:highlight w:val="none"/>
                <w:lang w:val="en-US" w:eastAsia="zh-CN" w:bidi="ar-SA"/>
              </w:rPr>
            </w:pPr>
            <w:r>
              <w:rPr>
                <w:rFonts w:hint="default" w:ascii="Times New Roman" w:hAnsi="Times New Roman" w:eastAsia="仿宋_GB2312" w:cs="Times New Roman"/>
                <w:color w:val="auto"/>
                <w:spacing w:val="-1"/>
                <w:sz w:val="24"/>
                <w:szCs w:val="24"/>
                <w:highlight w:val="none"/>
                <w:lang w:eastAsia="zh-CN"/>
              </w:rPr>
              <w:t>三等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3"/>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eastAsia="zh-CN"/>
              </w:rPr>
            </w:pPr>
            <w:r>
              <w:rPr>
                <w:rFonts w:hint="default" w:ascii="Times New Roman" w:hAnsi="Times New Roman" w:eastAsia="仿宋_GB2312" w:cs="Times New Roman"/>
                <w:color w:val="auto"/>
                <w:spacing w:val="3"/>
                <w:sz w:val="24"/>
                <w:szCs w:val="24"/>
                <w:highlight w:val="none"/>
              </w:rPr>
              <w:t>教育部以外其他部委</w:t>
            </w:r>
            <w:r>
              <w:rPr>
                <w:rFonts w:hint="default" w:ascii="Times New Roman" w:hAnsi="Times New Roman" w:eastAsia="仿宋_GB2312" w:cs="Times New Roman"/>
                <w:color w:val="auto"/>
                <w:spacing w:val="3"/>
                <w:sz w:val="24"/>
                <w:szCs w:val="24"/>
                <w:highlight w:val="none"/>
                <w:lang w:eastAsia="zh-CN"/>
              </w:rPr>
              <w:t>批准</w:t>
            </w:r>
            <w:r>
              <w:rPr>
                <w:rFonts w:hint="default" w:ascii="Times New Roman" w:hAnsi="Times New Roman" w:eastAsia="仿宋_GB2312" w:cs="Times New Roman"/>
                <w:color w:val="auto"/>
                <w:spacing w:val="3"/>
                <w:sz w:val="24"/>
                <w:szCs w:val="24"/>
                <w:highlight w:val="none"/>
              </w:rPr>
              <w:t>设立的科研</w:t>
            </w:r>
            <w:r>
              <w:rPr>
                <w:rFonts w:hint="default" w:ascii="Times New Roman" w:hAnsi="Times New Roman" w:eastAsia="仿宋_GB2312" w:cs="Times New Roman"/>
                <w:color w:val="auto"/>
                <w:spacing w:val="3"/>
                <w:sz w:val="24"/>
                <w:szCs w:val="24"/>
                <w:highlight w:val="none"/>
                <w:lang w:eastAsia="zh-CN"/>
              </w:rPr>
              <w:t>成果</w:t>
            </w:r>
            <w:r>
              <w:rPr>
                <w:rFonts w:hint="default" w:ascii="Times New Roman" w:hAnsi="Times New Roman" w:eastAsia="仿宋_GB2312" w:cs="Times New Roman"/>
                <w:color w:val="auto"/>
                <w:spacing w:val="3"/>
                <w:sz w:val="24"/>
                <w:szCs w:val="24"/>
                <w:highlight w:val="none"/>
              </w:rPr>
              <w:t>奖</w:t>
            </w:r>
            <w:r>
              <w:rPr>
                <w:rFonts w:hint="default" w:ascii="Times New Roman" w:hAnsi="Times New Roman" w:eastAsia="仿宋_GB2312" w:cs="Times New Roman"/>
                <w:color w:val="auto"/>
                <w:spacing w:val="3"/>
                <w:sz w:val="24"/>
                <w:szCs w:val="24"/>
                <w:highlight w:val="none"/>
                <w:lang w:eastAsia="zh-CN"/>
              </w:rPr>
              <w:t>（含中国</w:t>
            </w:r>
            <w:r>
              <w:rPr>
                <w:rFonts w:hint="default" w:ascii="Times New Roman" w:hAnsi="Times New Roman" w:eastAsia="仿宋_GB2312" w:cs="Times New Roman"/>
                <w:color w:val="auto"/>
                <w:spacing w:val="3"/>
                <w:sz w:val="24"/>
                <w:szCs w:val="24"/>
                <w:highlight w:val="none"/>
              </w:rPr>
              <w:t>法学优秀成果奖</w:t>
            </w:r>
            <w:r>
              <w:rPr>
                <w:rFonts w:hint="default" w:ascii="Times New Roman" w:hAnsi="Times New Roman" w:eastAsia="仿宋_GB2312" w:cs="Times New Roman"/>
                <w:color w:val="auto"/>
                <w:spacing w:val="3"/>
                <w:sz w:val="24"/>
                <w:szCs w:val="24"/>
                <w:highlight w:val="none"/>
                <w:lang w:eastAsia="zh-CN"/>
              </w:rPr>
              <w:t>）</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一等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二等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kern w:val="2"/>
                <w:sz w:val="24"/>
                <w:szCs w:val="24"/>
                <w:highlight w:val="none"/>
                <w:lang w:val="en-US" w:eastAsia="zh-CN" w:bidi="ar-SA"/>
              </w:rPr>
            </w:pPr>
            <w:r>
              <w:rPr>
                <w:rFonts w:hint="default" w:ascii="Times New Roman" w:hAnsi="Times New Roman" w:eastAsia="仿宋_GB2312" w:cs="Times New Roman"/>
                <w:color w:val="auto"/>
                <w:spacing w:val="-1"/>
                <w:sz w:val="24"/>
                <w:szCs w:val="24"/>
                <w:highlight w:val="none"/>
                <w:lang w:eastAsia="zh-CN"/>
              </w:rPr>
              <w:t>三等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3"/>
                <w:sz w:val="24"/>
                <w:szCs w:val="24"/>
                <w:highlight w:val="none"/>
              </w:rPr>
              <w:t>孙冶方经济科学奖等各类在教育部“中国高校人文社会科学信息网”发布申报通知的民间科研成果奖</w:t>
            </w: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1"/>
                <w:sz w:val="24"/>
                <w:szCs w:val="24"/>
                <w:highlight w:val="none"/>
                <w:lang w:eastAsia="zh-CN"/>
              </w:rPr>
              <w:t>一等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4084"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eastAsia="zh-CN"/>
              </w:rPr>
            </w:pPr>
          </w:p>
        </w:tc>
        <w:tc>
          <w:tcPr>
            <w:tcW w:w="19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1"/>
                <w:sz w:val="24"/>
                <w:szCs w:val="24"/>
                <w:highlight w:val="none"/>
                <w:lang w:eastAsia="zh-CN"/>
              </w:rPr>
            </w:pPr>
            <w:r>
              <w:rPr>
                <w:rFonts w:hint="default" w:ascii="Times New Roman" w:hAnsi="Times New Roman" w:eastAsia="仿宋_GB2312" w:cs="Times New Roman"/>
                <w:color w:val="auto"/>
                <w:spacing w:val="-1"/>
                <w:sz w:val="24"/>
                <w:szCs w:val="24"/>
                <w:highlight w:val="none"/>
                <w:lang w:eastAsia="zh-CN"/>
              </w:rPr>
              <w:t>三等</w:t>
            </w:r>
          </w:p>
        </w:tc>
        <w:tc>
          <w:tcPr>
            <w:tcW w:w="16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4"/>
                <w:kern w:val="2"/>
                <w:sz w:val="24"/>
                <w:szCs w:val="24"/>
                <w:highlight w:val="none"/>
                <w:lang w:val="en-US" w:eastAsia="zh-CN" w:bidi="ar-SA"/>
              </w:rPr>
            </w:pPr>
            <w:r>
              <w:rPr>
                <w:rFonts w:hint="default" w:ascii="Times New Roman" w:hAnsi="Times New Roman" w:eastAsia="仿宋_GB2312" w:cs="Times New Roman"/>
                <w:color w:val="auto"/>
                <w:spacing w:val="4"/>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美术作品参展获奖</w:t>
            </w:r>
          </w:p>
        </w:tc>
        <w:tc>
          <w:tcPr>
            <w:tcW w:w="9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类别</w:t>
            </w:r>
          </w:p>
        </w:tc>
        <w:tc>
          <w:tcPr>
            <w:tcW w:w="540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一等</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(金奖)</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二等</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(银奖)</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三等</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(铜奖)</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优秀奖</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（提名奖）</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pacing w:val="3"/>
                <w:sz w:val="24"/>
                <w:szCs w:val="24"/>
                <w:highlight w:val="none"/>
                <w:lang w:val="en-US" w:eastAsia="zh-CN"/>
              </w:rPr>
            </w:pPr>
            <w:r>
              <w:rPr>
                <w:rFonts w:hint="default" w:ascii="Times New Roman" w:hAnsi="Times New Roman" w:eastAsia="仿宋_GB2312" w:cs="Times New Roman"/>
                <w:b/>
                <w:bCs/>
                <w:color w:val="auto"/>
                <w:spacing w:val="3"/>
                <w:sz w:val="24"/>
                <w:szCs w:val="24"/>
                <w:highlight w:val="none"/>
                <w:lang w:val="en-US" w:eastAsia="zh-CN"/>
              </w:rPr>
              <w:t>入选作品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A类</w:t>
            </w: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2000</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1000</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500</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B类</w:t>
            </w: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1000</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500</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300</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C类</w:t>
            </w: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100</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30</w:t>
            </w:r>
            <w:r>
              <w:rPr>
                <w:rFonts w:hint="default" w:ascii="Times New Roman" w:hAnsi="Times New Roman" w:eastAsia="仿宋_GB2312" w:cs="Times New Roman"/>
                <w:color w:val="auto"/>
                <w:spacing w:val="-2"/>
                <w:sz w:val="24"/>
                <w:szCs w:val="24"/>
                <w:highlight w:val="none"/>
              </w:rPr>
              <w:t>*</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D类</w:t>
            </w: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150</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50</w:t>
            </w:r>
            <w:r>
              <w:rPr>
                <w:rFonts w:hint="default" w:ascii="Times New Roman" w:hAnsi="Times New Roman" w:eastAsia="仿宋_GB2312" w:cs="Times New Roman"/>
                <w:color w:val="auto"/>
                <w:spacing w:val="-2"/>
                <w:sz w:val="24"/>
                <w:szCs w:val="24"/>
                <w:highlight w:val="none"/>
              </w:rPr>
              <w:t>*</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30</w:t>
            </w:r>
            <w:r>
              <w:rPr>
                <w:rFonts w:hint="default" w:ascii="Times New Roman" w:hAnsi="Times New Roman" w:eastAsia="仿宋_GB2312" w:cs="Times New Roman"/>
                <w:color w:val="auto"/>
                <w:spacing w:val="-2"/>
                <w:sz w:val="24"/>
                <w:szCs w:val="24"/>
                <w:highlight w:val="none"/>
              </w:rPr>
              <w:t>*</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w:t>
            </w:r>
            <w:r>
              <w:rPr>
                <w:rFonts w:hint="default" w:ascii="Times New Roman" w:hAnsi="Times New Roman" w:eastAsia="仿宋_GB2312" w:cs="Times New Roman"/>
                <w:color w:val="auto"/>
                <w:spacing w:val="-2"/>
                <w:sz w:val="24"/>
                <w:szCs w:val="24"/>
                <w:highlight w:val="none"/>
              </w:rPr>
              <w:t>*</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15</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E类</w:t>
            </w:r>
          </w:p>
        </w:tc>
        <w:tc>
          <w:tcPr>
            <w:tcW w:w="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11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11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12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w:t>
            </w:r>
            <w:r>
              <w:rPr>
                <w:rFonts w:hint="default" w:ascii="Times New Roman" w:hAnsi="Times New Roman" w:eastAsia="仿宋_GB2312" w:cs="Times New Roman"/>
                <w:color w:val="auto"/>
                <w:spacing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7"/>
                <w:position w:val="4"/>
                <w:sz w:val="24"/>
                <w:szCs w:val="24"/>
                <w:highlight w:val="none"/>
                <w:lang w:val="en-US" w:eastAsia="zh-CN"/>
              </w:rPr>
            </w:pPr>
            <w:r>
              <w:rPr>
                <w:rFonts w:hint="default" w:ascii="Times New Roman" w:hAnsi="Times New Roman" w:eastAsia="仿宋_GB2312" w:cs="Times New Roman"/>
                <w:color w:val="auto"/>
                <w:spacing w:val="7"/>
                <w:position w:val="4"/>
                <w:sz w:val="24"/>
                <w:szCs w:val="24"/>
                <w:highlight w:val="none"/>
                <w:lang w:val="en-US" w:eastAsia="zh-CN"/>
              </w:rPr>
              <w:t>美术</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7"/>
                <w:position w:val="4"/>
                <w:sz w:val="24"/>
                <w:szCs w:val="24"/>
                <w:highlight w:val="none"/>
                <w:lang w:val="en-US" w:eastAsia="zh-CN"/>
              </w:rPr>
            </w:pPr>
            <w:r>
              <w:rPr>
                <w:rFonts w:hint="default" w:ascii="Times New Roman" w:hAnsi="Times New Roman" w:eastAsia="仿宋_GB2312" w:cs="Times New Roman"/>
                <w:color w:val="auto"/>
                <w:spacing w:val="7"/>
                <w:position w:val="4"/>
                <w:sz w:val="24"/>
                <w:szCs w:val="24"/>
                <w:highlight w:val="none"/>
                <w:lang w:val="en-US" w:eastAsia="zh-CN"/>
              </w:rPr>
              <w:t>作品</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7"/>
                <w:position w:val="4"/>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成果</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展览A类</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展览B类</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个人作品展览C类</w:t>
            </w:r>
          </w:p>
        </w:tc>
        <w:tc>
          <w:tcPr>
            <w:tcW w:w="12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个人作品收藏A类</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个人作品收藏B类</w:t>
            </w: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个人作品收藏C类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仿宋_GB2312" w:cs="Times New Roman"/>
                <w:color w:val="auto"/>
                <w:sz w:val="24"/>
                <w:szCs w:val="24"/>
                <w:highlight w:val="none"/>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60</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25</w:t>
            </w:r>
            <w:r>
              <w:rPr>
                <w:rFonts w:hint="default" w:ascii="Times New Roman" w:hAnsi="Times New Roman" w:eastAsia="仿宋_GB2312" w:cs="Times New Roman"/>
                <w:color w:val="auto"/>
                <w:spacing w:val="-2"/>
                <w:sz w:val="24"/>
                <w:szCs w:val="24"/>
                <w:highlight w:val="none"/>
              </w:rPr>
              <w:t>*</w:t>
            </w:r>
          </w:p>
        </w:tc>
        <w:tc>
          <w:tcPr>
            <w:tcW w:w="128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200</w:t>
            </w:r>
          </w:p>
        </w:tc>
        <w:tc>
          <w:tcPr>
            <w:tcW w:w="12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80</w:t>
            </w: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pacing w:val="3"/>
                <w:sz w:val="24"/>
                <w:szCs w:val="24"/>
                <w:highlight w:val="none"/>
                <w:lang w:val="en-US" w:eastAsia="zh-CN"/>
              </w:rPr>
            </w:pPr>
            <w:r>
              <w:rPr>
                <w:rFonts w:hint="default" w:ascii="Times New Roman" w:hAnsi="Times New Roman" w:eastAsia="仿宋_GB2312" w:cs="Times New Roman"/>
                <w:color w:val="auto"/>
                <w:spacing w:val="3"/>
                <w:sz w:val="24"/>
                <w:szCs w:val="24"/>
                <w:highlight w:val="none"/>
                <w:lang w:val="en-US" w:eastAsia="zh-CN"/>
              </w:rPr>
              <w:t>10</w:t>
            </w:r>
            <w:r>
              <w:rPr>
                <w:rFonts w:hint="default" w:ascii="Times New Roman" w:hAnsi="Times New Roman" w:eastAsia="仿宋_GB2312" w:cs="Times New Roman"/>
                <w:color w:val="auto"/>
                <w:spacing w:val="-2"/>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default" w:ascii="Times New Roman" w:hAnsi="Times New Roman" w:eastAsia="黑体" w:cs="Times New Roman"/>
          <w:b w:val="0"/>
          <w:bCs w:val="0"/>
          <w:color w:val="auto"/>
          <w:spacing w:val="-4"/>
          <w:sz w:val="32"/>
          <w:szCs w:val="32"/>
          <w:highlight w:val="none"/>
          <w:lang w:val="en-US" w:eastAsia="zh-CN"/>
        </w:rPr>
        <w:t>四</w:t>
      </w:r>
      <w:r>
        <w:rPr>
          <w:rFonts w:hint="default" w:ascii="Times New Roman" w:hAnsi="Times New Roman" w:eastAsia="黑体" w:cs="Times New Roman"/>
          <w:b w:val="0"/>
          <w:bCs w:val="0"/>
          <w:color w:val="auto"/>
          <w:spacing w:val="-4"/>
          <w:sz w:val="32"/>
          <w:szCs w:val="32"/>
          <w:highlight w:val="none"/>
          <w:lang w:eastAsia="zh-CN"/>
        </w:rPr>
        <w:t>、</w:t>
      </w:r>
      <w:r>
        <w:rPr>
          <w:rFonts w:hint="default" w:ascii="Times New Roman" w:hAnsi="Times New Roman" w:eastAsia="黑体" w:cs="Times New Roman"/>
          <w:b w:val="0"/>
          <w:bCs w:val="0"/>
          <w:color w:val="auto"/>
          <w:spacing w:val="-4"/>
          <w:sz w:val="32"/>
          <w:szCs w:val="32"/>
          <w:highlight w:val="none"/>
          <w:lang w:val="en-US" w:eastAsia="zh-CN"/>
        </w:rPr>
        <w:t>产教融合科研业绩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1.横向项目、博士创新站、与企业等联合共建的科研平台、智库研究成果、参与企业牵头纵向项目及其他科研成果、开展助企科技服务等可计为产教融合科研业绩，奖励按照各项目相应标准执行。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获得国家级新型研发机构、大学科技园、概念验证中心，计科研业绩分10000分；获得省级新型研发机构、大学科技园、概念验证中心，计科研业绩分5000分。平台立项建设阶段，发放60%；通过验收成功获批，发放40%。上述每个阶段奖励的60%由平台负责人负责分配，20%由所在二级学院掌握，20%由归口管理部门掌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3.实体化运作的企业研究院、地方研究院年经费科研达到的1000万元以上，计科研业绩分4000分；年经费科研500万元以上，计科研业绩分2000分；获得的奖励由平台负责人分配。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重大产业化成果吸引投资50亿元以上，计科研业绩分30000分；吸引投资30亿元以上，计科研业绩分20000分；吸引投资10亿元以上，计科研业绩分10000分；吸引投资2亿元以上，计科研业绩分5000分；吸引投资0.5亿元以上，计科研业绩分2000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5.成功1个孵化科技型中小企业，计科研业绩分500分。</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default" w:ascii="Times New Roman" w:hAnsi="Times New Roman" w:eastAsia="黑体" w:cs="Times New Roman"/>
          <w:b w:val="0"/>
          <w:bCs w:val="0"/>
          <w:color w:val="auto"/>
          <w:spacing w:val="-4"/>
          <w:sz w:val="32"/>
          <w:szCs w:val="32"/>
          <w:highlight w:val="none"/>
          <w:lang w:val="en-US" w:eastAsia="zh-CN"/>
        </w:rPr>
        <w:t>五、其他科研业绩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1.被学校成功推荐申报国家级、省部级、市级重大科研项目的分别给予科研业绩虚拟分10*分、5*分、2*分/项。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在国际级、国家级、省级、市级学术团体组织兼职期间每年可分别计科研业绩虚拟分15*分、10*分、5*分、2*分；担任国际级、国家级、省级、市级学术期刊编委的，任职期间每年可分别计科研业绩虚拟分15*分、10*分、5*分、2*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3.参加学术会议，可计科研业绩虚拟分2*分/次；如在学术会议上做学术报告的，另加2*分/次；提交的学术会议论文获一、二、三等分别给予科研业绩虚拟分5*分、3*分、1*分/篇。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4.参加政府部门组织学术科研活动（含科普类竞赛），获国家级、省级、市级奖项的分别给予科研业绩虚拟分10*分、5*分、2*分。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pacing w:val="6"/>
          <w:sz w:val="32"/>
          <w:szCs w:val="32"/>
          <w:highlight w:val="none"/>
          <w:lang w:val="en-US" w:eastAsia="zh-CN"/>
        </w:rPr>
        <w:t>参</w:t>
      </w:r>
      <w:r>
        <w:rPr>
          <w:rFonts w:hint="default" w:ascii="Times New Roman" w:hAnsi="Times New Roman" w:eastAsia="仿宋_GB2312" w:cs="Times New Roman"/>
          <w:color w:val="auto"/>
          <w:spacing w:val="0"/>
          <w:sz w:val="32"/>
          <w:szCs w:val="32"/>
          <w:highlight w:val="none"/>
          <w:lang w:val="en-US" w:eastAsia="zh-CN"/>
        </w:rPr>
        <w:t>与政府部门组织的科研项目评审，可计科研业绩虚拟分2*分/次；以学校名义参与学术科研活动（除校领导带队外）被官方新闻媒体报道的（报道中提及温州理工学院），可计科研业绩虚拟分2*分/次，每次活动限1人计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6.下企业开展科技服务的，可计科研业绩虚拟分1*分/半天。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7.参与科普知识宣传与推广活动，可计科研业绩虚拟分2*分/次。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8.指导硕士研究生的，可计科研业绩虚拟分5*分/生。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9.指导学生开展科学研究的，可计科研业绩虚拟分2*分/项；每聘任1名本校学生担任科研助理的，可计科研业绩虚拟分2*分。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10.学院认定的其他科研业绩，经学校科研部门审核后可计虚拟分1-2*分/项。</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default" w:ascii="Times New Roman" w:hAnsi="Times New Roman" w:eastAsia="黑体" w:cs="Times New Roman"/>
          <w:b w:val="0"/>
          <w:bCs w:val="0"/>
          <w:color w:val="auto"/>
          <w:spacing w:val="-4"/>
          <w:sz w:val="32"/>
          <w:szCs w:val="32"/>
          <w:highlight w:val="none"/>
          <w:lang w:val="en-US" w:eastAsia="zh-CN"/>
        </w:rPr>
        <w:t>六、有关说明</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（一）科研项目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1.科研业绩量化标准中涉及的项目系指符合温州理工学院科研项目管理办法规定的项目。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2.纵向科研项目业绩奖励含类(级)别奖励和经费分值两部分，类别按照学校科学研究项目管理办法划分，科研项目经费分值根据实际到校经费计入到账当年。</w:t>
      </w:r>
    </w:p>
    <w:p>
      <w:pPr>
        <w:keepNext w:val="0"/>
        <w:keepLines w:val="0"/>
        <w:pageBreakBefore w:val="0"/>
        <w:widowControl w:val="0"/>
        <w:kinsoku/>
        <w:wordWrap/>
        <w:overflowPunct/>
        <w:topLinePunct w:val="0"/>
        <w:autoSpaceDE/>
        <w:autoSpaceDN/>
        <w:bidi w:val="0"/>
        <w:adjustRightInd/>
        <w:snapToGrid/>
        <w:spacing w:line="600" w:lineRule="exact"/>
        <w:ind w:left="0" w:firstLine="596"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3</w:t>
      </w:r>
      <w:r>
        <w:rPr>
          <w:rFonts w:hint="default" w:ascii="Times New Roman" w:hAnsi="Times New Roman" w:eastAsia="仿宋_GB2312" w:cs="Times New Roman"/>
          <w:color w:val="auto"/>
          <w:spacing w:val="-11"/>
          <w:sz w:val="32"/>
          <w:szCs w:val="32"/>
          <w:highlight w:val="none"/>
        </w:rPr>
        <w:t>.横向项目</w:t>
      </w:r>
      <w:r>
        <w:rPr>
          <w:rFonts w:hint="default" w:ascii="Times New Roman" w:hAnsi="Times New Roman" w:eastAsia="仿宋_GB2312" w:cs="Times New Roman"/>
          <w:color w:val="auto"/>
          <w:spacing w:val="-11"/>
          <w:sz w:val="32"/>
          <w:szCs w:val="32"/>
          <w:highlight w:val="none"/>
          <w:lang w:val="en-US" w:eastAsia="zh-CN"/>
        </w:rPr>
        <w:t>根据</w:t>
      </w:r>
      <w:r>
        <w:rPr>
          <w:rFonts w:hint="default" w:ascii="Times New Roman" w:hAnsi="Times New Roman" w:eastAsia="仿宋_GB2312" w:cs="Times New Roman"/>
          <w:color w:val="auto"/>
          <w:sz w:val="32"/>
          <w:szCs w:val="32"/>
          <w:highlight w:val="none"/>
          <w:lang w:val="en-US" w:eastAsia="zh-CN"/>
        </w:rPr>
        <w:t>实际到校经费，按照科研项目分类管理办法规定的标准确定级别，科研</w:t>
      </w:r>
      <w:r>
        <w:rPr>
          <w:rFonts w:hint="default" w:ascii="Times New Roman" w:hAnsi="Times New Roman" w:eastAsia="仿宋_GB2312" w:cs="Times New Roman"/>
          <w:color w:val="auto"/>
          <w:spacing w:val="-11"/>
          <w:sz w:val="32"/>
          <w:szCs w:val="32"/>
          <w:highlight w:val="none"/>
          <w:lang w:val="en-US" w:eastAsia="zh-CN"/>
        </w:rPr>
        <w:t>经费分值按照5</w:t>
      </w:r>
      <w:r>
        <w:rPr>
          <w:rFonts w:hint="default" w:ascii="Times New Roman" w:hAnsi="Times New Roman" w:eastAsia="仿宋_GB2312" w:cs="Times New Roman"/>
          <w:color w:val="auto"/>
          <w:spacing w:val="-11"/>
          <w:sz w:val="32"/>
          <w:szCs w:val="32"/>
          <w:highlight w:val="none"/>
        </w:rPr>
        <w:t>分</w:t>
      </w:r>
      <w:r>
        <w:rPr>
          <w:rFonts w:hint="default" w:ascii="Times New Roman" w:hAnsi="Times New Roman" w:eastAsia="仿宋_GB2312" w:cs="Times New Roman"/>
          <w:color w:val="auto"/>
          <w:spacing w:val="-11"/>
          <w:sz w:val="32"/>
          <w:szCs w:val="32"/>
          <w:highlight w:val="none"/>
          <w:lang w:val="en-US" w:eastAsia="zh-CN"/>
        </w:rPr>
        <w:t>/万元</w:t>
      </w:r>
      <w:r>
        <w:rPr>
          <w:rFonts w:hint="default" w:ascii="Times New Roman" w:hAnsi="Times New Roman" w:eastAsia="仿宋_GB2312" w:cs="Times New Roman"/>
          <w:color w:val="auto"/>
          <w:spacing w:val="-11"/>
          <w:sz w:val="32"/>
          <w:szCs w:val="32"/>
          <w:highlight w:val="none"/>
        </w:rPr>
        <w:t>计</w:t>
      </w:r>
      <w:r>
        <w:rPr>
          <w:rFonts w:hint="default" w:ascii="Times New Roman" w:hAnsi="Times New Roman" w:eastAsia="仿宋_GB2312" w:cs="Times New Roman"/>
          <w:color w:val="auto"/>
          <w:spacing w:val="16"/>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外拨协作费、代办和外包加工仪器设备费的经费分值按照0.</w:t>
      </w:r>
      <w:r>
        <w:rPr>
          <w:rFonts w:hint="default" w:ascii="Times New Roman" w:hAnsi="Times New Roman" w:eastAsia="仿宋_GB2312" w:cs="Times New Roman"/>
          <w:color w:val="auto"/>
          <w:spacing w:val="-11"/>
          <w:sz w:val="32"/>
          <w:szCs w:val="32"/>
          <w:highlight w:val="none"/>
          <w:lang w:val="en-US" w:eastAsia="zh-CN"/>
        </w:rPr>
        <w:t>5</w:t>
      </w:r>
      <w:r>
        <w:rPr>
          <w:rFonts w:hint="default" w:ascii="Times New Roman" w:hAnsi="Times New Roman" w:eastAsia="仿宋_GB2312" w:cs="Times New Roman"/>
          <w:color w:val="auto"/>
          <w:spacing w:val="-11"/>
          <w:sz w:val="32"/>
          <w:szCs w:val="32"/>
          <w:highlight w:val="none"/>
        </w:rPr>
        <w:t>分</w:t>
      </w:r>
      <w:r>
        <w:rPr>
          <w:rFonts w:hint="default" w:ascii="Times New Roman" w:hAnsi="Times New Roman" w:eastAsia="仿宋_GB2312" w:cs="Times New Roman"/>
          <w:color w:val="auto"/>
          <w:spacing w:val="-11"/>
          <w:sz w:val="32"/>
          <w:szCs w:val="32"/>
          <w:highlight w:val="none"/>
          <w:lang w:val="en-US" w:eastAsia="zh-CN"/>
        </w:rPr>
        <w:t>/万元</w:t>
      </w:r>
      <w:r>
        <w:rPr>
          <w:rFonts w:hint="default" w:ascii="Times New Roman" w:hAnsi="Times New Roman" w:eastAsia="仿宋_GB2312" w:cs="Times New Roman"/>
          <w:color w:val="auto"/>
          <w:spacing w:val="-11"/>
          <w:sz w:val="32"/>
          <w:szCs w:val="32"/>
          <w:highlight w:val="none"/>
        </w:rPr>
        <w:t>计</w:t>
      </w:r>
      <w:r>
        <w:rPr>
          <w:rFonts w:hint="default" w:ascii="Times New Roman" w:hAnsi="Times New Roman" w:eastAsia="仿宋_GB2312" w:cs="Times New Roman"/>
          <w:color w:val="auto"/>
          <w:spacing w:val="1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4.共建项目、联合资助等纵向项目，类(级)别按相应标准的50%计。由学校出资或配套的经费部分，不计经费分；校外自筹到校的经费部分，按横向项目经费计分。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温州理工学院为项目第一承担单位的，类(级)别奖励给予全额计算。以温州理工学院为参与单位联合申报项目，类（级）别奖励按照学校分配所得项目经费占项目总经费比例乘以0.8的标准计算。温州理工学院作为项目参加单位申报的项目，项目申报时须到科研处备案，否则不予计算项目类(级)别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6.纵向科研项目根据项目执行周期，分别按照项目对应业绩标准的30%、40%、30%发放立项当年、执行期间、项目完成验收三个阶段的类别奖励，执行期间的40%按照执行年平均分配。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7.未最终立项的项目如有答辩环节，进入答辩环节按对应类别奖励的50%给予奖励。</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（二）学术论文及著作</w:t>
      </w:r>
    </w:p>
    <w:p>
      <w:pPr>
        <w:keepNext w:val="0"/>
        <w:keepLines w:val="0"/>
        <w:pageBreakBefore w:val="0"/>
        <w:widowControl w:val="0"/>
        <w:kinsoku/>
        <w:wordWrap/>
        <w:overflowPunct/>
        <w:topLinePunct w:val="0"/>
        <w:autoSpaceDE/>
        <w:autoSpaceDN/>
        <w:bidi w:val="0"/>
        <w:adjustRightInd/>
        <w:snapToGrid/>
        <w:spacing w:line="600" w:lineRule="exact"/>
        <w:ind w:left="0" w:firstLine="596" w:firstLineChars="200"/>
        <w:jc w:val="both"/>
        <w:textAlignment w:val="auto"/>
        <w:rPr>
          <w:rFonts w:hint="default" w:ascii="Times New Roman" w:hAnsi="Times New Roman" w:eastAsia="仿宋_GB2312" w:cs="Times New Roman"/>
          <w:color w:val="auto"/>
          <w:spacing w:val="-11"/>
          <w:sz w:val="32"/>
          <w:szCs w:val="32"/>
          <w:highlight w:val="none"/>
          <w:lang w:eastAsia="zh-CN"/>
        </w:rPr>
      </w:pPr>
      <w:r>
        <w:rPr>
          <w:rFonts w:hint="default" w:ascii="Times New Roman" w:hAnsi="Times New Roman" w:eastAsia="仿宋_GB2312" w:cs="Times New Roman"/>
          <w:color w:val="auto"/>
          <w:spacing w:val="-11"/>
          <w:sz w:val="32"/>
          <w:szCs w:val="32"/>
          <w:highlight w:val="none"/>
          <w:lang w:val="en-US" w:eastAsia="zh-CN"/>
        </w:rPr>
        <w:t>1.</w:t>
      </w:r>
      <w:r>
        <w:rPr>
          <w:rFonts w:hint="default" w:ascii="Times New Roman" w:hAnsi="Times New Roman" w:eastAsia="仿宋_GB2312" w:cs="Times New Roman"/>
          <w:color w:val="auto"/>
          <w:spacing w:val="-11"/>
          <w:sz w:val="32"/>
          <w:szCs w:val="32"/>
          <w:highlight w:val="none"/>
          <w:lang w:eastAsia="zh-CN"/>
        </w:rPr>
        <w:t>期刊级别按照学校学术期刊（著作）定级标准划分。</w:t>
      </w:r>
    </w:p>
    <w:p>
      <w:pPr>
        <w:keepNext w:val="0"/>
        <w:keepLines w:val="0"/>
        <w:pageBreakBefore w:val="0"/>
        <w:widowControl w:val="0"/>
        <w:kinsoku/>
        <w:wordWrap/>
        <w:overflowPunct/>
        <w:topLinePunct w:val="0"/>
        <w:autoSpaceDE/>
        <w:autoSpaceDN/>
        <w:bidi w:val="0"/>
        <w:adjustRightInd/>
        <w:snapToGrid/>
        <w:spacing w:line="600" w:lineRule="exact"/>
        <w:ind w:left="0" w:firstLine="596" w:firstLineChars="20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2.</w:t>
      </w:r>
      <w:r>
        <w:rPr>
          <w:rFonts w:hint="default" w:ascii="Times New Roman" w:hAnsi="Times New Roman" w:eastAsia="仿宋_GB2312" w:cs="Times New Roman"/>
          <w:color w:val="auto"/>
          <w:spacing w:val="4"/>
          <w:sz w:val="32"/>
          <w:szCs w:val="32"/>
          <w:highlight w:val="none"/>
          <w:lang w:eastAsia="zh-CN"/>
        </w:rPr>
        <w:t>SCI、</w:t>
      </w:r>
      <w:r>
        <w:rPr>
          <w:rFonts w:hint="default" w:ascii="Times New Roman" w:hAnsi="Times New Roman" w:eastAsia="仿宋_GB2312" w:cs="Times New Roman"/>
          <w:color w:val="auto"/>
          <w:spacing w:val="4"/>
          <w:sz w:val="32"/>
          <w:szCs w:val="32"/>
          <w:highlight w:val="none"/>
          <w:lang w:val="en-US" w:eastAsia="zh-CN"/>
        </w:rPr>
        <w:t>SSCI</w:t>
      </w:r>
      <w:r>
        <w:rPr>
          <w:rFonts w:hint="default" w:ascii="Times New Roman" w:hAnsi="Times New Roman" w:eastAsia="仿宋_GB2312" w:cs="Times New Roman"/>
          <w:color w:val="auto"/>
          <w:spacing w:val="4"/>
          <w:sz w:val="32"/>
          <w:szCs w:val="32"/>
          <w:highlight w:val="none"/>
          <w:lang w:eastAsia="zh-CN"/>
        </w:rPr>
        <w:t>分</w:t>
      </w:r>
      <w:r>
        <w:rPr>
          <w:rFonts w:hint="default" w:ascii="Times New Roman" w:hAnsi="Times New Roman" w:eastAsia="仿宋_GB2312" w:cs="Times New Roman"/>
          <w:color w:val="auto"/>
          <w:spacing w:val="4"/>
          <w:sz w:val="32"/>
          <w:szCs w:val="32"/>
          <w:highlight w:val="none"/>
          <w:lang w:val="en-US" w:eastAsia="zh-CN"/>
        </w:rPr>
        <w:t>区</w:t>
      </w:r>
      <w:r>
        <w:rPr>
          <w:rFonts w:hint="default" w:ascii="Times New Roman" w:hAnsi="Times New Roman" w:eastAsia="仿宋_GB2312" w:cs="Times New Roman"/>
          <w:color w:val="auto"/>
          <w:spacing w:val="4"/>
          <w:sz w:val="32"/>
          <w:szCs w:val="32"/>
          <w:highlight w:val="none"/>
          <w:lang w:eastAsia="zh-CN"/>
        </w:rPr>
        <w:t>以</w:t>
      </w:r>
      <w:r>
        <w:rPr>
          <w:rFonts w:hint="default" w:ascii="Times New Roman" w:hAnsi="Times New Roman" w:eastAsia="仿宋_GB2312" w:cs="Times New Roman"/>
          <w:color w:val="auto"/>
          <w:spacing w:val="4"/>
          <w:sz w:val="32"/>
          <w:szCs w:val="32"/>
          <w:highlight w:val="none"/>
          <w:lang w:val="en-US" w:eastAsia="zh-CN"/>
        </w:rPr>
        <w:t>论文发表时（发表时间以检索证明为准）中科院文献情报中心公布的最新期刊大类分区表为标准。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论文指在公开出版的学术刊物上发表的学术论文，国内学术期刊、出版社的级别以最新的《温州理工学院学术期刊（著作）定级标准》为准。论文类别认定：发表在学术期刊上的论文，如学术期刊归属我校认定的理工科类的期刊，则论文按理工科的标准奖励；如学术期刊归属我校认定的人文社科类期刊，则论文按人文社科的标准奖励，综合类期刊按栏目进行认定并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4.以第一作者或通讯作者身份，发表在ESI期刊的论文他引科研奖励计分为3分/次。入选为ESI 高被引论文，每篇论文另加奖励150分；入选为ESI 热点论文，每篇论文另加奖励300分。同一篇论文多次入选ESI 高被引或热点的，仅就高奖励一次。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pacing w:val="-11"/>
          <w:sz w:val="32"/>
          <w:szCs w:val="32"/>
          <w:highlight w:val="none"/>
          <w:lang w:val="en-US" w:eastAsia="zh-CN"/>
        </w:rPr>
        <w:t>论文被《新华文摘》《中国社会科学文摘》论点摘编的，另加20分。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6.CSSCI期刊论文另加50分。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7.在</w:t>
      </w:r>
      <w:r>
        <w:rPr>
          <w:rFonts w:hint="default" w:ascii="Times New Roman" w:hAnsi="Times New Roman" w:eastAsia="仿宋_GB2312" w:cs="Times New Roman"/>
          <w:color w:val="auto"/>
          <w:sz w:val="32"/>
          <w:szCs w:val="32"/>
          <w:highlight w:val="none"/>
          <w:vertAlign w:val="baseline"/>
        </w:rPr>
        <w:t>《人民日报》《光明日报》</w:t>
      </w:r>
      <w:r>
        <w:rPr>
          <w:rFonts w:hint="default" w:ascii="Times New Roman" w:hAnsi="Times New Roman" w:eastAsia="仿宋_GB2312" w:cs="Times New Roman"/>
          <w:color w:val="auto"/>
          <w:sz w:val="32"/>
          <w:szCs w:val="32"/>
          <w:highlight w:val="none"/>
          <w:vertAlign w:val="baseline"/>
          <w:lang w:val="en-US" w:eastAsia="zh-CN"/>
        </w:rPr>
        <w:t>理论版上发表，字数在</w:t>
      </w:r>
      <w:r>
        <w:rPr>
          <w:rFonts w:hint="default" w:ascii="Times New Roman" w:hAnsi="Times New Roman" w:eastAsia="仿宋_GB2312" w:cs="Times New Roman"/>
          <w:color w:val="auto"/>
          <w:kern w:val="0"/>
          <w:sz w:val="31"/>
          <w:szCs w:val="31"/>
          <w:highlight w:val="none"/>
          <w:lang w:val="en-US" w:eastAsia="zh-CN" w:bidi="ar"/>
        </w:rPr>
        <w:t>2000(含)字以上的理论文章，视同</w:t>
      </w:r>
      <w:r>
        <w:rPr>
          <w:rFonts w:hint="default" w:ascii="Times New Roman" w:hAnsi="Times New Roman" w:eastAsia="仿宋_GB2312" w:cs="Times New Roman"/>
          <w:color w:val="auto"/>
          <w:sz w:val="32"/>
          <w:szCs w:val="32"/>
          <w:highlight w:val="none"/>
          <w:vertAlign w:val="baseline"/>
          <w:lang w:val="en-US" w:eastAsia="zh-CN"/>
        </w:rPr>
        <w:t>人文社科类一级论文</w:t>
      </w:r>
      <w:r>
        <w:rPr>
          <w:rFonts w:hint="default" w:ascii="Times New Roman" w:hAnsi="Times New Roman" w:eastAsia="仿宋_GB2312" w:cs="Times New Roman"/>
          <w:color w:val="auto"/>
          <w:spacing w:val="0"/>
          <w:sz w:val="32"/>
          <w:szCs w:val="32"/>
          <w:highlight w:val="none"/>
          <w:lang w:val="en-US" w:eastAsia="zh-CN"/>
        </w:rPr>
        <w:t>计算科研业绩和奖励</w:t>
      </w:r>
      <w:r>
        <w:rPr>
          <w:rFonts w:hint="default"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vertAlign w:val="baseline"/>
        </w:rPr>
        <w:t>《人民日报》《光明日报》</w:t>
      </w:r>
      <w:r>
        <w:rPr>
          <w:rFonts w:hint="default" w:ascii="Times New Roman" w:hAnsi="Times New Roman" w:eastAsia="仿宋_GB2312" w:cs="Times New Roman"/>
          <w:color w:val="auto"/>
          <w:sz w:val="32"/>
          <w:szCs w:val="32"/>
          <w:highlight w:val="none"/>
          <w:vertAlign w:val="baseline"/>
          <w:lang w:val="en-US" w:eastAsia="zh-CN"/>
        </w:rPr>
        <w:t>理论版上发表，字数在1000（含）—</w:t>
      </w:r>
      <w:r>
        <w:rPr>
          <w:rFonts w:hint="default" w:ascii="Times New Roman" w:hAnsi="Times New Roman" w:eastAsia="仿宋_GB2312" w:cs="Times New Roman"/>
          <w:color w:val="auto"/>
          <w:kern w:val="0"/>
          <w:sz w:val="31"/>
          <w:szCs w:val="31"/>
          <w:highlight w:val="none"/>
          <w:lang w:val="en-US" w:eastAsia="zh-CN" w:bidi="ar"/>
        </w:rPr>
        <w:t>2000字的理论文章，</w:t>
      </w:r>
      <w:r>
        <w:rPr>
          <w:rFonts w:hint="default" w:ascii="Times New Roman" w:hAnsi="Times New Roman" w:eastAsia="仿宋_GB2312" w:cs="Times New Roman"/>
          <w:color w:val="auto"/>
          <w:sz w:val="32"/>
          <w:szCs w:val="32"/>
          <w:highlight w:val="none"/>
          <w:vertAlign w:val="baseline"/>
          <w:lang w:val="en-US" w:eastAsia="zh-CN"/>
        </w:rPr>
        <w:t>视同人文社科类</w:t>
      </w:r>
      <w:r>
        <w:rPr>
          <w:rFonts w:hint="default" w:ascii="Times New Roman" w:hAnsi="Times New Roman" w:eastAsia="仿宋_GB2312" w:cs="Times New Roman"/>
          <w:color w:val="auto"/>
          <w:spacing w:val="0"/>
          <w:sz w:val="32"/>
          <w:szCs w:val="32"/>
          <w:highlight w:val="none"/>
        </w:rPr>
        <w:t>二级A</w:t>
      </w:r>
      <w:r>
        <w:rPr>
          <w:rFonts w:hint="default" w:ascii="Times New Roman" w:hAnsi="Times New Roman" w:eastAsia="仿宋_GB2312" w:cs="Times New Roman"/>
          <w:color w:val="auto"/>
          <w:spacing w:val="0"/>
          <w:sz w:val="32"/>
          <w:szCs w:val="32"/>
          <w:highlight w:val="none"/>
          <w:lang w:val="en-US" w:eastAsia="zh-CN"/>
        </w:rPr>
        <w:t>论文计算科研业绩和奖励；</w:t>
      </w:r>
      <w:r>
        <w:rPr>
          <w:rFonts w:hint="default" w:ascii="Times New Roman" w:hAnsi="Times New Roman" w:eastAsia="仿宋_GB2312" w:cs="Times New Roman"/>
          <w:color w:val="auto"/>
          <w:sz w:val="32"/>
          <w:szCs w:val="32"/>
          <w:highlight w:val="none"/>
          <w:vertAlign w:val="baseline"/>
        </w:rPr>
        <w:t>在求是网、人民网、新华网</w:t>
      </w:r>
      <w:r>
        <w:rPr>
          <w:rFonts w:hint="default" w:ascii="Times New Roman" w:hAnsi="Times New Roman" w:eastAsia="仿宋_GB2312" w:cs="Times New Roman"/>
          <w:color w:val="auto"/>
          <w:sz w:val="32"/>
          <w:szCs w:val="32"/>
          <w:highlight w:val="none"/>
          <w:vertAlign w:val="baseline"/>
          <w:lang w:eastAsia="zh-CN"/>
        </w:rPr>
        <w:t>、</w:t>
      </w:r>
      <w:r>
        <w:rPr>
          <w:rFonts w:hint="default" w:ascii="Times New Roman" w:hAnsi="Times New Roman" w:eastAsia="仿宋_GB2312" w:cs="Times New Roman"/>
          <w:color w:val="auto"/>
          <w:sz w:val="32"/>
          <w:szCs w:val="32"/>
          <w:highlight w:val="none"/>
          <w:vertAlign w:val="baseline"/>
          <w:lang w:val="en-US" w:eastAsia="zh-CN"/>
        </w:rPr>
        <w:t>浙江日报理论版上</w:t>
      </w:r>
      <w:r>
        <w:rPr>
          <w:rFonts w:hint="default" w:ascii="Times New Roman" w:hAnsi="Times New Roman" w:eastAsia="仿宋_GB2312" w:cs="Times New Roman"/>
          <w:color w:val="auto"/>
          <w:sz w:val="32"/>
          <w:szCs w:val="32"/>
          <w:highlight w:val="none"/>
          <w:vertAlign w:val="baseline"/>
        </w:rPr>
        <w:t>发表的</w:t>
      </w:r>
      <w:r>
        <w:rPr>
          <w:rFonts w:hint="default" w:ascii="Times New Roman" w:hAnsi="Times New Roman" w:eastAsia="仿宋_GB2312" w:cs="Times New Roman"/>
          <w:color w:val="auto"/>
          <w:sz w:val="32"/>
          <w:szCs w:val="32"/>
          <w:highlight w:val="none"/>
          <w:vertAlign w:val="baseline"/>
          <w:lang w:val="en-US" w:eastAsia="zh-CN"/>
        </w:rPr>
        <w:t>理论文章，视同人文社科类</w:t>
      </w:r>
      <w:r>
        <w:rPr>
          <w:rFonts w:hint="default" w:ascii="Times New Roman" w:hAnsi="Times New Roman" w:eastAsia="仿宋_GB2312" w:cs="Times New Roman"/>
          <w:color w:val="auto"/>
          <w:spacing w:val="0"/>
          <w:sz w:val="32"/>
          <w:szCs w:val="32"/>
          <w:highlight w:val="none"/>
        </w:rPr>
        <w:t>二级</w:t>
      </w:r>
      <w:r>
        <w:rPr>
          <w:rFonts w:hint="default" w:ascii="Times New Roman" w:hAnsi="Times New Roman" w:eastAsia="仿宋_GB2312" w:cs="Times New Roman"/>
          <w:color w:val="auto"/>
          <w:spacing w:val="0"/>
          <w:sz w:val="32"/>
          <w:szCs w:val="32"/>
          <w:highlight w:val="none"/>
          <w:lang w:val="en-US" w:eastAsia="zh-CN"/>
        </w:rPr>
        <w:t>B论文计算科研业绩和奖励；</w:t>
      </w:r>
      <w:r>
        <w:rPr>
          <w:rFonts w:hint="default" w:ascii="Times New Roman" w:hAnsi="Times New Roman" w:eastAsia="仿宋_GB2312" w:cs="Times New Roman"/>
          <w:color w:val="auto"/>
          <w:sz w:val="32"/>
          <w:szCs w:val="32"/>
          <w:highlight w:val="none"/>
          <w:vertAlign w:val="baseline"/>
          <w:lang w:val="en-US" w:eastAsia="zh-CN"/>
        </w:rPr>
        <w:t>在温州日报理论版、温州人杂志社</w:t>
      </w:r>
      <w:r>
        <w:rPr>
          <w:rFonts w:hint="default" w:ascii="Times New Roman" w:hAnsi="Times New Roman" w:eastAsia="仿宋_GB2312" w:cs="Times New Roman"/>
          <w:i w:val="0"/>
          <w:iCs w:val="0"/>
          <w:caps w:val="0"/>
          <w:color w:val="auto"/>
          <w:spacing w:val="0"/>
          <w:sz w:val="32"/>
          <w:szCs w:val="32"/>
          <w:highlight w:val="none"/>
          <w:shd w:val="clear" w:color="auto" w:fill="auto"/>
        </w:rPr>
        <w:t>《求真》理论专刊</w:t>
      </w:r>
      <w:r>
        <w:rPr>
          <w:rFonts w:hint="default" w:ascii="Times New Roman" w:hAnsi="Times New Roman" w:eastAsia="仿宋_GB2312" w:cs="Times New Roman"/>
          <w:color w:val="auto"/>
          <w:sz w:val="32"/>
          <w:szCs w:val="32"/>
          <w:highlight w:val="none"/>
          <w:vertAlign w:val="baseline"/>
          <w:lang w:val="en-US" w:eastAsia="zh-CN"/>
        </w:rPr>
        <w:t>发表的理论文章，视同人文社科类三级论文</w:t>
      </w:r>
      <w:r>
        <w:rPr>
          <w:rFonts w:hint="default" w:ascii="Times New Roman" w:hAnsi="Times New Roman" w:eastAsia="仿宋_GB2312" w:cs="Times New Roman"/>
          <w:color w:val="auto"/>
          <w:spacing w:val="0"/>
          <w:sz w:val="32"/>
          <w:szCs w:val="32"/>
          <w:highlight w:val="none"/>
          <w:lang w:val="en-US" w:eastAsia="zh-CN"/>
        </w:rPr>
        <w:t>计算</w:t>
      </w:r>
      <w:r>
        <w:rPr>
          <w:rFonts w:hint="default" w:ascii="Times New Roman" w:hAnsi="Times New Roman" w:eastAsia="仿宋_GB2312" w:cs="Times New Roman"/>
          <w:color w:val="auto"/>
          <w:sz w:val="32"/>
          <w:szCs w:val="32"/>
          <w:highlight w:val="none"/>
          <w:vertAlign w:val="baseline"/>
          <w:lang w:val="en-US" w:eastAsia="zh-CN"/>
        </w:rPr>
        <w:t>科研业绩。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人文社科类论文（除《光明日报》《人民日报》《求是》等有字数限制的杂志或期刊外）以4500字为标准，少于4500字的，按同级论文的75%计；少于3000字的，按同级论文的的50%计；少于1500字的不计科研业绩和奖励；无法统计字数的，每个版面（B5-A4）按1500字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在《北大政治学评论》《清华社会科学》等被国内学界认可，且有广泛影响力的哲学社会学术集刊上发表的论文，或二级学院推荐的相应学科高水平专用期刊论文（每个学院限推荐1个），经学校学术委员会认定后，可参照2A论文的标准予以计算业绩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10.文学创作在刊物上发表等同相应刊物级别论文奖励，字数在20000字以下的按1篇论文奖励，40000字及以上的按2篇奖励，20000-40000字按1.5篇奖励。在《收获》《人民文学》上刊发的文学作品,10万字以上的给予130分科研业绩与奖励，10万字以下的按80分计；在《十月》《当代》《中国作家》《诗刊》《散文》上发表的作品，给予80分科研业绩与奖励。在同一刊物上多期连载作品只按总字数计算一次。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11.以“温州理工学院”为第一完成单位发表的</w:t>
      </w:r>
      <w:r>
        <w:rPr>
          <w:rFonts w:hint="default" w:ascii="Times New Roman" w:hAnsi="Times New Roman" w:eastAsia="仿宋_GB2312" w:cs="Times New Roman"/>
          <w:color w:val="auto"/>
          <w:kern w:val="2"/>
          <w:sz w:val="32"/>
          <w:szCs w:val="32"/>
          <w:highlight w:val="none"/>
          <w:lang w:val="en-US" w:eastAsia="zh-CN" w:bidi="ar"/>
        </w:rPr>
        <w:t>新闻作品社会传播类创作成果经学校认定后，按照以下标准予以计算科研业绩与奖励：</w:t>
      </w:r>
    </w:p>
    <w:tbl>
      <w:tblPr>
        <w:tblStyle w:val="6"/>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557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级别</w:t>
            </w:r>
          </w:p>
        </w:tc>
        <w:tc>
          <w:tcPr>
            <w:tcW w:w="5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认定标准</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122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A</w:t>
            </w:r>
          </w:p>
        </w:tc>
        <w:tc>
          <w:tcPr>
            <w:tcW w:w="5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广播电视动漫作品需要在中央总台黄金时段播出；电影作品需要进入院线上映1周以上，票房收入1000万元以上；网络视听作品须在主流网络平台播出并产生重大正面社会影响（须提供相关证明），点击率不少于500万次；作品须在国家级主流媒体平台传播并产生重大社会影响和明显经济效益（须提供相关证明）。</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B</w:t>
            </w:r>
          </w:p>
        </w:tc>
        <w:tc>
          <w:tcPr>
            <w:tcW w:w="5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广播电视动漫作品需要在省级卫视黄金时段、省级广播电台黄金时段播出；电影作品需要进入院线上映，票房收入500万元以上；网络视听作品须在主流网络平台播出并产生较大正面社会影响（须提供相关证明），点击率不少于300万次；作品须在省级主流媒体平台传播并产生较大社会影响和明显经济效益（须提供相关证明）。</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C</w:t>
            </w:r>
          </w:p>
        </w:tc>
        <w:tc>
          <w:tcPr>
            <w:tcW w:w="5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广播电视动漫作品需要在市级广电媒体黄金时段播出；网络视听作品须在主流网络平台播出并产生较大正面社会影响（须提供相关证明），点击率不少于100万次；作品须在市主流媒体平台传播并产生较大社会影响和明显经济效益（提供相关证明）。</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D</w:t>
            </w:r>
          </w:p>
        </w:tc>
        <w:tc>
          <w:tcPr>
            <w:tcW w:w="5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广播电视动漫作品、网络视听作品、新闻宣传及广告作品须在市级政务新媒体、学校官方新媒体传播并产生较大正面社会影响，点击率不少于10万次（须提供相关证明）。</w:t>
            </w:r>
          </w:p>
        </w:tc>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12.学术期刊的增刊、专刊与网络版（SCI/ SCIE/ SSCI期刊除外）不计科研业绩和奖励。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13.以第一作者且“温州理工学院”为第二署名单位在Science,Nature,Cell及其子刊、Nature index收录期刊和《中国社会科学》上发表的论文，按30%计。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14.本校在读学生（或兼职硕导指导的学生）为第一作者的合作论文</w:t>
      </w:r>
      <w:r>
        <w:rPr>
          <w:rFonts w:hint="default" w:ascii="Times New Roman" w:hAnsi="Times New Roman" w:eastAsia="仿宋_GB2312" w:cs="Times New Roman"/>
          <w:color w:val="auto"/>
          <w:spacing w:val="-6"/>
          <w:sz w:val="32"/>
          <w:szCs w:val="32"/>
          <w:highlight w:val="none"/>
          <w:lang w:val="en-US" w:eastAsia="zh-CN"/>
        </w:rPr>
        <w:t>，若本校教师为第二作者或通讯作者的(含共同通讯作者)，本校教师按第一作者计算科研业绩与科研奖励。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15.论文以最高档计算科研业绩和奖励，不重复计算。涉及多个校内教师合作完成的，奖励由合作教师自行协商分配方式。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16.本校教师以“温州理工学院”为署名单位并以共同第一作者身份合作撰写权威级的学术论文，根据个人排名次序，按20%递减。例如个人排名第一的按100%，排名第二的按80%、排名第三的按60%计，以此类推，最低不低于5%。</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17.第一作者及通讯作者的第一单位均为“温州理工学院”的，按全额计。学校鼓励教职工与外单位合作撰写权威级的学术论文，本校教职工以“温州理工学院”为第一署名单位的发表权威级学术论文按照以下标准予以计算科研业绩与奖励：（1）第一作者非本校人员，通讯作者均为本校人员的论文或第一作者为本校人员，通讯作者均非本校人员的论文，按70%计分；（2）第一作者非本校人员，2个及以上通讯作者的论文，我校通讯作者按50%计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如以“温州理工学院”合作撰写权威级的学术论文，不在上述情况内的，按不低于5%的标准予以计算业绩和奖励。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18.学术论文应确保设计科学合理，数据真实可靠，论文全体作者需对论文科研诚信负责。论文因非主动发现而进行的数据、图片等问题勘误，或论文相关责任人被给予科研诚信诫勉谈话（含）以上处理处分的，不可作为科研业绩考核材料。如已申请，需予以核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19.学术著作必须在前言、后记或作者简介中体现作者是温州理工学院的师生员工，否则不予计分。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20.著作按25万字为标准进行计分，不到或者超过的，按照比例予以计分，但最高按120%计分。</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（三）知识产权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1.所获专利必须以温州理工学院为专利权人，第一发明人必须为我校教职员工。学生为第一发明人，教师为第二发明人的职务发明创造，则按教师为第一发明人进行计算科研业绩。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利授权或转化后予以奖励。我校单独申报并获得授权或转化的专利按全额计；共同申报温州理工学院为第一专利权人的，按80%计；温州理工学院为第二专利权人的，按60%计；温州理工学院为第三专利权人的，按40%计；温州理工学院为第四专利权人的，按20%计；其余不计奖励。动植物新品种国家级审定等同国家发明专利计分，省级审定等同国家实用新型专利计分。</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（四）标准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标准的制订，温州理工学院为第二、第三起草单位的，分别按50%、30%计分；其它参与单位的，按20%计分。标准物质(样品)参照相应级别标准的60%计分。</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（五）科技与社科平台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1.省部级科技平台A类包含教育部重点实验室、教育部工程研究中心、教育部国际合作联合实验室、浙江省2011协同创新中心、浙江省科技服务平台、浙江省重点实验室等；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2.省部级科技平台B类包含浙江省工程研究中心、浙江省软科学研究基地、浙江省国际科技合作基地、浙江省国际联合实验室(研究中心)等；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3.市级科技平台包含温州市2011协同创新中心、温州市重点实验室（工程技术研究中心）、其他各类厅级科技基地等；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4.省部级社科平台A类包含教育部人文社会科学重点研究基地、浙江省哲学社会科学基地等；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5.省部级社科平台B类包含浙江省高端智库、浙江省重点智库等；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6.市级社科平台包含温州市社会科学重点研究基地、温州市各类智库、教育厅智库、其他各类厅级社科基地等；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7.省级、市级以上博士创新站获得考核优秀的，当年分别另加科研业绩虚拟分10</w:t>
      </w:r>
      <w:r>
        <w:rPr>
          <w:rFonts w:hint="default" w:ascii="Times New Roman" w:hAnsi="Times New Roman" w:eastAsia="仿宋_GB2312" w:cs="Times New Roman"/>
          <w:color w:val="auto"/>
          <w:spacing w:val="6"/>
          <w:sz w:val="32"/>
          <w:szCs w:val="32"/>
          <w:highlight w:val="none"/>
          <w:lang w:val="en-US" w:eastAsia="zh-CN"/>
        </w:rPr>
        <w:t>0*分、50*分；校级科研平台获得考核优秀的，当年另加</w:t>
      </w:r>
      <w:r>
        <w:rPr>
          <w:rFonts w:hint="default" w:ascii="Times New Roman" w:hAnsi="Times New Roman" w:eastAsia="仿宋_GB2312" w:cs="Times New Roman"/>
          <w:color w:val="auto"/>
          <w:sz w:val="32"/>
          <w:szCs w:val="32"/>
          <w:highlight w:val="none"/>
          <w:lang w:val="en-US" w:eastAsia="zh-CN"/>
        </w:rPr>
        <w:t>科研业绩虚拟分</w:t>
      </w:r>
      <w:r>
        <w:rPr>
          <w:rFonts w:hint="default" w:ascii="Times New Roman" w:hAnsi="Times New Roman" w:eastAsia="仿宋_GB2312" w:cs="Times New Roman"/>
          <w:color w:val="auto"/>
          <w:spacing w:val="6"/>
          <w:sz w:val="32"/>
          <w:szCs w:val="32"/>
          <w:highlight w:val="none"/>
          <w:lang w:val="en-US" w:eastAsia="zh-CN"/>
        </w:rPr>
        <w:t>25*分；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8.获得国家级科研平台的业绩采用一事一议方式确定计分和奖励；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9.平台立项建设阶段，发放60%；通过验收成功获批，发放40%。上述每个阶段奖励的60%由平台负责人负责分配，20%由所在二级学院掌握，20%由归口管理部门掌握；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10.未最终获批立项建设的平台如有答辩环节，进入答辩环节按对应类别奖励的50%给予奖励。</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（六）智库成果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pacing w:val="3"/>
          <w:sz w:val="32"/>
          <w:szCs w:val="32"/>
          <w:highlight w:val="none"/>
          <w:lang w:val="en-US" w:eastAsia="zh-CN"/>
        </w:rPr>
        <w:t>智库研究成果是指为国家地方经济社会发展科学决策提供理论支持、提出具体政策建议和服务于社会实践等的应用对策类研究成果，包括咨询报告、政策建议和调研报告等。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2.批示类智库研究成果认定说明如下：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（1）按照批示人批示时的行政级别确认相应的等级，行政级别划分按照《中华人共和国公务员法》中关于领导职务相关规定执行（不包括非领导职务）。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（2）申请人提供的佐证材料中没有清晰报送成果渠道的，认定级别降一级。</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（3）批示人的批注为“参考”“批转由某某同志研究”等倾向性明显的用语，可以按批示人批示时的行政级别认定。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（4）获得温州市委书记、市长肯定性批示的参照省级领导副职认定标准予以计分和奖励。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（5）获温州市下辖县（市、区）委书记、县（市、区）长肯定性批示的参照厅局级副职认定标准予以计分和奖励。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（6）批示人的批注为“阅”“阅研”等非肯定性用语的，或者仅有圈阅、无实质性批示内容的，不予认定。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3.采纳类智库研究成果认定说明如下：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（1）申请人提供的佐证材料中没有相应级别部门公章的，不予认定。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（2）成果采纳部门的职责与该成果没有关联性的，不予认定。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pacing w:val="3"/>
          <w:sz w:val="32"/>
          <w:szCs w:val="32"/>
          <w:highlight w:val="none"/>
          <w:lang w:val="en-US" w:eastAsia="zh-CN"/>
        </w:rPr>
        <w:t>申请人提供的佐证材料中没有“采纳”字样，或没有能够确证该成果已经实质上被采纳的明确表述，不予认定。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（4）受人大、政协等委托对某项提案或专门事项开展研究，属于委托研究课题，不归类为采纳类智库研究成果。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（5）采纳类成果在提交认定申请的时候，应提供成果报送的流程证明。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（6）由以上所述机构的下属部门采纳并出具证明的，应降级认定。被市级政府下属部门采纳的，不予认定。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（7）对地方经济社会和学校发展产生重大影响的采纳类智库研究成果的业绩采用一事一议方式确定计分和奖励。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4.刊发类智库研究成果级别认定标准如下：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（1）国家级刊发类：在全国哲学社会科学规划办公室主办的《成果要报》、教育部社科司主办的《高校智库专刊》等重要内参或内部资料上发表的智库研究成果；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省部级刊发类：在中国社会科学院主办的《成果要报》、全国教育科学规划办公室主办的《教育成果要报》、全国艺术科学规划办主办的《艺术成果要报》、浙江省社科联主办的《浙江社科成果要报》、浙江省委政策研究室、浙江省人民政府办公厅等省部级政府部门主办的其他重要内参或内部资料上发表的智库研究成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（3）厅局级刊发类：在温州市委政策研究室主办的《温州政研》、温州市社科联主办的《温州社科成果要报》《智库报告》和市政府部门主办的其他重要内参或内部资料上发表的智库研究成果。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5.国家级智库研究成果视同权威学术期刊论文，省部级智库研究成果视同一级学术期刊论文，厅局级智库研究成果视同2A级学术期刊论文。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6.同一成</w:t>
      </w:r>
      <w:r>
        <w:rPr>
          <w:rFonts w:hint="default" w:ascii="Times New Roman" w:hAnsi="Times New Roman" w:eastAsia="仿宋_GB2312" w:cs="Times New Roman"/>
          <w:color w:val="auto"/>
          <w:spacing w:val="-6"/>
          <w:sz w:val="32"/>
          <w:szCs w:val="32"/>
          <w:highlight w:val="none"/>
          <w:lang w:val="en-US" w:eastAsia="zh-CN"/>
        </w:rPr>
        <w:t>果获领导批示并被政府或部门采纳的，按就高原则予以奖励。奖励要求我校作为第一完成单位，我校为非第一完成单位的，依据我校完成人在完成人员中的前三位排名，分别按第一完成单位奖励标准的1/2、1/3和1/4予以奖励。我校多人以“温州理工学院”为非第一完成单位获得同一智库成果，业绩仅计最高分，参与者根据本条款计分比例分享业绩。</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（七）科研获奖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1.同一科研成果获得多重奖项，就高计算一次。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2.国家奖励管理部门认可的以社会力量设立的奖项无等级的由科研管理部门组织相关专家确认，并经学校学术委员会审议确定。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pacing w:val="4"/>
          <w:sz w:val="32"/>
          <w:szCs w:val="32"/>
          <w:highlight w:val="none"/>
          <w:lang w:val="en-US" w:eastAsia="zh-CN"/>
        </w:rPr>
        <w:t>获得国家最高科学技术奖的我校教师，计科研业绩分50000分；入选浙江省重大科技成果的，计科研业绩分5000分。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获中国专利金奖、中国外观设计金奖，分别计科研业绩分4000、2000分；获浙江省知识产权大奖，计科研业绩分2000分；获浙江省发明专利奖一等奖、二等奖、三等奖，分别计科研业绩分500、300、100分；获浙江省实用新型、外观设计专利奖一等奖、二等奖、三等奖，分别计科研业绩分300、100、50分；获浙江省版权和其他知识产权奖一等奖、二等奖、三等奖，分别计科研业绩分300、100、50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5.我校作为第一完成单位申报国家科学技术一等奖、二等奖，取得相关部门推荐资格后分别给予3000分和2000分科研奖励，通过初评后再分别给予3000分和2000分科研奖励，获奖后补足剩余科研业绩与奖励。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6.教育部高等学校科学研究优秀成果奖设置的青年成果奖、普及读物奖，计科研业绩分2000分。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7.获鲁迅文学奖、茅盾文学奖的文学作品，计科研业绩分2000分。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8.“温州理工学院”为非第一完成单位获得省级科研奖项，根据获奖单位及个人排名系数之积乘以业绩，单位排名系数按50%递减，个人排名前5位的系数分别为1,0.5,0.4, 0.3,0.2，其它按0.1计。以“温州理工学院”为非第一完成单位获得国家级科研奖项，根据获奖单位及个人排名次序，按奖励分的50%递减。例如，以“温州理工学院”为第二完成单位且个人排名前3位的按50%计，第三完成单位且个人排名前5位的按25%计，第四完成单位且个人排名前7位的按12.5%计，以此类推；最低不低于5%。本单位多人以“温州理工学院”为非第一完成单位获得同一个科研奖项，业绩仅计最高分，参与者根据本条款计分比例分享业绩。</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（八）作品参展及获奖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美术类作品参展获奖中，A类是指国家文化和旅游部、中国文联、中国美协联合主办的五年一届全国美术作品展览，国家文化和旅游部、中国文联、中国书协联合主办的三—五年一届书法兰亭展，中宣部、中国文联、中国民协举办的两年一届民间文艺山花奖；B类是指国家文化和旅游部或中国美协联合其他部委或地方政府举办的专题展览，中国文联或中国美协与各艺委会或地方政府主办的两年一次全国单项展览，国家文化和旅游部、中国文联、中国书协举办的书法、篆刻展，省文化和旅游厅、省文联、省美协举办的五年一次的全省美展，中国文联、中国文艺评论家协会主办的一年一届“啄木鸟”杯；C类是指省文化和旅游厅、省文联、省书协举办的书法篆刻展，省文化和旅游厅、省文联、省美协、省书协与各厅局联合举办的专题展览，省文联、省民协举办的两年一届的民间文艺映山红奖；D类是指省美协、省书法家协会举办的单项美展、书法篆刻展，省美协各艺委会举办的美展：E类是指市美协、市书协举办的单项美展、书法篆刻展。教师参加国外（官方）双年展，业绩奖励标准与国内同级政府部门主办展览等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pacing w:val="-6"/>
          <w:sz w:val="32"/>
          <w:szCs w:val="32"/>
          <w:highlight w:val="none"/>
          <w:lang w:val="en-US" w:eastAsia="zh-CN"/>
        </w:rPr>
        <w:t>获得设计类的红星奖、中国设计智造大奖 (DIA)、 德国IF 奖、美国 IDEA 奖、德国红点 (Redot) 奖，按作品参展获奖B 类计分；获得中国优秀工业设计奖、金堂奖、金顶奖、意大利A 设计奖、戛纳广告奖、日本 G-mark 奖、世界之星 (World Star)奖等其他艺术设计类奖项，按作品参展获奖 D 类计分。上述奖项中，设金、银、铜奖的对应于一、二、三等奖；至尊奖等最高奖按一等奖计；不设等级的奖项按二等奖计。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3.摄影作品入选中国摄影家协会主办的全国摄影艺术展览、中国国际摄影艺术展览，参照美术作品参展获奖A类计算科研业绩与奖励；摄影作品入选国家文化和旅游部或中国摄影</w:t>
      </w:r>
      <w:r>
        <w:rPr>
          <w:rFonts w:hint="default" w:ascii="Times New Roman" w:hAnsi="Times New Roman" w:eastAsia="仿宋_GB2312" w:cs="Times New Roman"/>
          <w:color w:val="auto"/>
          <w:spacing w:val="-4"/>
          <w:sz w:val="32"/>
          <w:szCs w:val="32"/>
          <w:highlight w:val="none"/>
          <w:lang w:val="en-US" w:eastAsia="zh-CN"/>
        </w:rPr>
        <w:t>家协会联合其他部委或地方政府举办的专题摄影展览，中国摄影家协会主办的全国性摄影展览，省文联、省摄影家协会举办的全省摄影艺术展览，参照美术作品参展获奖B类计算科研业绩与奖励。摄影作品参加平遥国际摄影大展、丽水摄影节展览的，参照个人作品展览B类计算科研业绩与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4.以“温州理工学院”为第一完成单位的</w:t>
      </w:r>
      <w:r>
        <w:rPr>
          <w:rFonts w:hint="default" w:ascii="Times New Roman" w:hAnsi="Times New Roman" w:eastAsia="仿宋_GB2312" w:cs="Times New Roman"/>
          <w:kern w:val="2"/>
          <w:sz w:val="32"/>
          <w:szCs w:val="32"/>
          <w:highlight w:val="none"/>
          <w:lang w:val="en-US" w:eastAsia="zh-CN" w:bidi="ar"/>
        </w:rPr>
        <w:t>新闻作品专业评选类获奖经学校认定后，按照以下标准计算科研业绩与奖励。</w:t>
      </w:r>
      <w:r>
        <w:rPr>
          <w:rFonts w:hint="default" w:ascii="Times New Roman" w:hAnsi="Times New Roman" w:eastAsia="仿宋_GB2312" w:cs="Times New Roman"/>
          <w:color w:val="auto"/>
          <w:sz w:val="32"/>
          <w:szCs w:val="32"/>
          <w:highlight w:val="none"/>
          <w:lang w:val="en-US" w:eastAsia="zh-CN"/>
        </w:rPr>
        <w:t>以“温州理工学院”为非第一完成单位的，根据获奖单位及个人排名次序，按50%递减。</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018"/>
        <w:gridCol w:w="963"/>
        <w:gridCol w:w="1038"/>
        <w:gridCol w:w="108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级别</w:t>
            </w:r>
          </w:p>
        </w:tc>
        <w:tc>
          <w:tcPr>
            <w:tcW w:w="501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认定标准</w:t>
            </w:r>
          </w:p>
        </w:tc>
        <w:tc>
          <w:tcPr>
            <w:tcW w:w="413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级别奖励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2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p>
        </w:tc>
        <w:tc>
          <w:tcPr>
            <w:tcW w:w="50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一等</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二等</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三等</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入围奖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2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A</w:t>
            </w:r>
          </w:p>
        </w:tc>
        <w:tc>
          <w:tcPr>
            <w:tcW w:w="5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中宣部《全国性文艺新闻出版评奖管理办法》中设置的全国性文艺新闻出版奖项、</w:t>
            </w:r>
            <w:r>
              <w:rPr>
                <w:rFonts w:hint="default" w:ascii="Times New Roman" w:hAnsi="Times New Roman" w:eastAsia="仿宋_GB2312" w:cs="Times New Roman"/>
                <w:i w:val="0"/>
                <w:iCs w:val="0"/>
                <w:caps w:val="0"/>
                <w:color w:val="auto"/>
                <w:spacing w:val="0"/>
                <w:kern w:val="0"/>
                <w:sz w:val="24"/>
                <w:szCs w:val="24"/>
                <w:highlight w:val="none"/>
                <w:shd w:val="clear" w:color="auto" w:fill="auto"/>
                <w:lang w:bidi="ar"/>
              </w:rPr>
              <w:t>全国精神文明建设</w:t>
            </w:r>
            <w:r>
              <w:rPr>
                <w:rFonts w:hint="default" w:ascii="Times New Roman" w:hAnsi="Times New Roman" w:eastAsia="仿宋_GB2312" w:cs="Times New Roman"/>
                <w:color w:val="auto"/>
                <w:kern w:val="0"/>
                <w:sz w:val="24"/>
                <w:szCs w:val="24"/>
                <w:highlight w:val="none"/>
                <w:lang w:val="en-US" w:eastAsia="zh-CN" w:bidi="ar"/>
              </w:rPr>
              <w:t>“五个一工程”奖、中国新闻奖、中国广播电视节目奖、中国出版政府奖、中国文化艺术政府奖、文化部“国家动漫政府奖”、长江韬奋奖、中国国际动漫节“金猴奖”。</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 xml:space="preserve">2000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1000</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B</w:t>
            </w:r>
          </w:p>
        </w:tc>
        <w:tc>
          <w:tcPr>
            <w:tcW w:w="5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kern w:val="0"/>
                <w:sz w:val="24"/>
                <w:szCs w:val="24"/>
                <w:highlight w:val="none"/>
                <w:shd w:val="clear" w:color="auto" w:fill="auto"/>
                <w:lang w:bidi="ar"/>
              </w:rPr>
              <w:t>省精神文明建设</w:t>
            </w:r>
            <w:r>
              <w:rPr>
                <w:rFonts w:hint="default" w:ascii="Times New Roman" w:hAnsi="Times New Roman" w:eastAsia="仿宋_GB2312" w:cs="Times New Roman"/>
                <w:color w:val="auto"/>
                <w:kern w:val="0"/>
                <w:sz w:val="24"/>
                <w:szCs w:val="24"/>
                <w:highlight w:val="none"/>
                <w:lang w:val="en-US" w:eastAsia="zh-CN" w:bidi="ar"/>
              </w:rPr>
              <w:t>“五个一工程”奖、省级新闻奖、省级广播电视政府奖。</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1000</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500</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C</w:t>
            </w:r>
          </w:p>
        </w:tc>
        <w:tc>
          <w:tcPr>
            <w:tcW w:w="5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aps w:val="0"/>
                <w:color w:val="auto"/>
                <w:spacing w:val="0"/>
                <w:kern w:val="0"/>
                <w:sz w:val="24"/>
                <w:szCs w:val="24"/>
                <w:highlight w:val="none"/>
                <w:shd w:val="clear" w:color="auto" w:fill="auto"/>
                <w:lang w:bidi="ar"/>
              </w:rPr>
              <w:t>市级精神文明建设“五个一工程”</w:t>
            </w:r>
            <w:r>
              <w:rPr>
                <w:rFonts w:hint="default" w:ascii="Times New Roman" w:hAnsi="Times New Roman" w:eastAsia="仿宋_GB2312" w:cs="Times New Roman"/>
                <w:color w:val="auto"/>
                <w:kern w:val="0"/>
                <w:sz w:val="24"/>
                <w:szCs w:val="24"/>
                <w:highlight w:val="none"/>
                <w:lang w:val="en-US" w:eastAsia="zh-CN" w:bidi="ar"/>
              </w:rPr>
              <w:t>奖</w:t>
            </w:r>
            <w:r>
              <w:rPr>
                <w:rFonts w:hint="default" w:ascii="Times New Roman" w:hAnsi="Times New Roman" w:eastAsia="仿宋_GB2312" w:cs="Times New Roman"/>
                <w:i w:val="0"/>
                <w:iCs w:val="0"/>
                <w:caps w:val="0"/>
                <w:color w:val="auto"/>
                <w:spacing w:val="0"/>
                <w:kern w:val="0"/>
                <w:sz w:val="24"/>
                <w:szCs w:val="24"/>
                <w:highlight w:val="none"/>
                <w:shd w:val="clear" w:color="auto" w:fill="auto"/>
                <w:lang w:eastAsia="zh-CN" w:bidi="ar"/>
              </w:rPr>
              <w:t>、</w:t>
            </w:r>
            <w:r>
              <w:rPr>
                <w:rFonts w:hint="default" w:ascii="Times New Roman" w:hAnsi="Times New Roman" w:eastAsia="仿宋_GB2312" w:cs="Times New Roman"/>
                <w:color w:val="auto"/>
                <w:kern w:val="0"/>
                <w:sz w:val="24"/>
                <w:szCs w:val="24"/>
                <w:highlight w:val="none"/>
                <w:lang w:val="en-US" w:eastAsia="zh-CN" w:bidi="ar"/>
              </w:rPr>
              <w:t>市级新闻奖、市级广播电视政府奖。</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200</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100</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D</w:t>
            </w:r>
          </w:p>
        </w:tc>
        <w:tc>
          <w:tcPr>
            <w:tcW w:w="5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由地方政府部门或高校官方举办的新闻传播或广告宣传主题类全国性赛事、新闻及影视领域全国性协会定期举办的全国性大赛。</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150</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50*</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30*</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15*</w:t>
            </w: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eastAsia="仿宋_GB2312" w:cs="Times New Roman"/>
          <w:color w:val="auto"/>
          <w:sz w:val="24"/>
          <w:szCs w:val="24"/>
          <w:highlight w:val="none"/>
          <w:lang w:val="en-US" w:eastAsia="zh-CN" w:bidi="ar"/>
        </w:rPr>
        <w:t>注</w:t>
      </w:r>
      <w:r>
        <w:rPr>
          <w:rFonts w:hint="eastAsia" w:eastAsia="仿宋_GB2312" w:cs="Times New Roman"/>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val="en-US" w:eastAsia="zh-CN" w:bidi="ar"/>
        </w:rPr>
        <w:t>（1）不设</w:t>
      </w:r>
      <w:r>
        <w:rPr>
          <w:rFonts w:hint="default" w:ascii="Times New Roman" w:hAnsi="Times New Roman" w:eastAsia="仿宋_GB2312" w:cs="Times New Roman"/>
          <w:color w:val="auto"/>
          <w:kern w:val="2"/>
          <w:sz w:val="24"/>
          <w:szCs w:val="24"/>
          <w:highlight w:val="none"/>
          <w:lang w:val="en-US" w:eastAsia="zh-CN" w:bidi="ar"/>
        </w:rPr>
        <w:t xml:space="preserve">等级的奖项，按二等奖计； </w:t>
      </w:r>
    </w:p>
    <w:p>
      <w:pPr>
        <w:keepNext w:val="0"/>
        <w:keepLines w:val="0"/>
        <w:pageBreakBefore w:val="0"/>
        <w:widowControl/>
        <w:kinsoku/>
        <w:wordWrap/>
        <w:overflowPunct/>
        <w:topLinePunct w:val="0"/>
        <w:autoSpaceDE/>
        <w:autoSpaceDN/>
        <w:bidi w:val="0"/>
        <w:adjustRightInd/>
        <w:snapToGrid/>
        <w:spacing w:line="360" w:lineRule="auto"/>
        <w:ind w:firstLine="360" w:firstLineChars="150"/>
        <w:jc w:val="left"/>
        <w:textAlignment w:val="auto"/>
        <w:rPr>
          <w:rFonts w:hint="default" w:ascii="Times New Roman" w:hAnsi="Times New Roman" w:eastAsia="仿宋_GB2312" w:cs="Times New Roman"/>
          <w:color w:val="auto"/>
          <w:kern w:val="2"/>
          <w:sz w:val="24"/>
          <w:szCs w:val="24"/>
          <w:highlight w:val="none"/>
          <w:lang w:val="en-US" w:eastAsia="zh-CN" w:bidi="ar"/>
        </w:rPr>
      </w:pPr>
      <w:r>
        <w:rPr>
          <w:rFonts w:hint="default" w:ascii="Times New Roman" w:hAnsi="Times New Roman" w:cs="Times New Roman"/>
          <w:color w:val="auto"/>
          <w:kern w:val="0"/>
          <w:sz w:val="24"/>
          <w:szCs w:val="24"/>
          <w:highlight w:val="none"/>
          <w:lang w:val="en-US" w:eastAsia="zh-CN" w:bidi="ar"/>
        </w:rPr>
        <w:t>（2）</w:t>
      </w:r>
      <w:r>
        <w:rPr>
          <w:rFonts w:hint="default" w:ascii="Times New Roman" w:hAnsi="Times New Roman" w:eastAsia="仿宋_GB2312" w:cs="Times New Roman"/>
          <w:color w:val="auto"/>
          <w:sz w:val="24"/>
          <w:szCs w:val="24"/>
          <w:highlight w:val="none"/>
          <w:lang w:val="en-US" w:eastAsia="zh-CN"/>
        </w:rPr>
        <w:t>其他</w:t>
      </w:r>
      <w:r>
        <w:rPr>
          <w:rFonts w:hint="default" w:ascii="Times New Roman" w:hAnsi="Times New Roman" w:eastAsia="仿宋_GB2312" w:cs="Times New Roman"/>
          <w:color w:val="auto"/>
          <w:kern w:val="2"/>
          <w:sz w:val="24"/>
          <w:szCs w:val="24"/>
          <w:highlight w:val="none"/>
          <w:lang w:val="en-US" w:eastAsia="zh-CN" w:bidi="ar"/>
        </w:rPr>
        <w:t>新闻作品专业评选类获奖采用一事一议方式确定计分和奖励。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美术类个人作品展览A类是指在国家级展览场所举办个人艺术作品展或者中国美协主办的个人艺术作品展；个人作品展览B类是指在省级展览场所举办或者省美协主办的个人艺术作品展，受邀出国举办的个人艺术展览；个人作品展览C类是指在市级展览场所举办或者市美协主办的个人艺术作品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6.美术类作品收藏A类是指被国家级展览场所收藏的作品；作品收藏B类是指省级展览场所收藏的作品；作品收藏C 类是指市级展览场所收藏的作品。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国家级展览场所指：中国美术馆、中国国家博物馆、上海美术馆、中华艺术馆、国家画院美术馆；省级展览场所指：各省(直辖市、自治 区)的美术馆、博物馆；清华大学艺术博物馆、中央美术学院、中国美术学院、鲁迅美术学院、天津美术学院、广州美术学院、西安美术学院、湖北美术学院、四川美术学院、南京艺术学院等专业美术(艺术)学院美术馆；市级展览场所指：各地级市的美术馆、博物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7.在公开出版的专业美术刊物上发表美术作品，参照刊物相应级别的论文标准计分，视规格大小折算字数。多幅（件）作品在同一期刊的同一期上发表的，按1篇计算。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8.其他艺术创作类的科研业绩计算和奖励范围与标准，参照上述规定执行。</w:t>
      </w:r>
    </w:p>
    <w:p>
      <w:pPr>
        <w:keepNext w:val="0"/>
        <w:keepLines w:val="0"/>
        <w:pageBreakBefore w:val="0"/>
        <w:widowControl w:val="0"/>
        <w:kinsoku/>
        <w:wordWrap/>
        <w:overflowPunct/>
        <w:topLinePunct w:val="0"/>
        <w:autoSpaceDE/>
        <w:autoSpaceDN/>
        <w:bidi w:val="0"/>
        <w:adjustRightInd/>
        <w:snapToGrid/>
        <w:spacing w:line="600" w:lineRule="exact"/>
        <w:ind w:left="0" w:firstLine="627" w:firstLineChars="200"/>
        <w:jc w:val="both"/>
        <w:textAlignment w:val="auto"/>
        <w:rPr>
          <w:rFonts w:hint="default" w:ascii="Times New Roman" w:hAnsi="Times New Roman" w:eastAsia="楷体_GB2312" w:cs="Times New Roman"/>
          <w:b/>
          <w:bCs/>
          <w:color w:val="auto"/>
          <w:spacing w:val="-4"/>
          <w:sz w:val="32"/>
          <w:szCs w:val="32"/>
          <w:highlight w:val="none"/>
          <w:lang w:val="en-US" w:eastAsia="zh-CN"/>
        </w:rPr>
      </w:pPr>
      <w:r>
        <w:rPr>
          <w:rFonts w:hint="default" w:ascii="Times New Roman" w:hAnsi="Times New Roman" w:eastAsia="楷体_GB2312" w:cs="Times New Roman"/>
          <w:b/>
          <w:bCs/>
          <w:color w:val="auto"/>
          <w:spacing w:val="-4"/>
          <w:sz w:val="32"/>
          <w:szCs w:val="32"/>
          <w:highlight w:val="none"/>
          <w:lang w:val="en-US" w:eastAsia="zh-CN"/>
        </w:rPr>
        <w:t>（九）其它说明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1.科研项目、科研成果奖励可由项目负责人提出具体分配方案，也可参照以下原则进行分解计算：排名第一权重为1;第二为0.5;第三为0.3;第四为0.2;其它为0.1。</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2.带“*”号的科研量化分是科研量化虚拟分，仅用于岗位考核。</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pacing w:val="8"/>
          <w:sz w:val="32"/>
          <w:szCs w:val="32"/>
          <w:highlight w:val="none"/>
          <w:lang w:val="en-US" w:eastAsia="zh-CN"/>
        </w:rPr>
        <w:t>所有科研量化虚拟分不得分配给科研业绩完成人之外的人员。除论著以外的科研业绩，原则上排名在后的科研业绩完成人分配所得的虚拟分不得多于排名在前的完成人。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4.科研奖励的补发，仅限上一年度取得的科研业绩，业绩分计算按补发当年的政策执行。</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jc w:val="both"/>
        <w:textAlignment w:val="auto"/>
        <w:rPr>
          <w:rFonts w:hint="default" w:ascii="Times New Roman" w:hAnsi="Times New Roman" w:eastAsia="黑体" w:cs="Times New Roman"/>
          <w:b w:val="0"/>
          <w:bCs w:val="0"/>
          <w:color w:val="auto"/>
          <w:spacing w:val="-4"/>
          <w:sz w:val="32"/>
          <w:szCs w:val="32"/>
          <w:highlight w:val="none"/>
          <w:lang w:val="en-US" w:eastAsia="zh-CN"/>
        </w:rPr>
      </w:pPr>
      <w:r>
        <w:rPr>
          <w:rFonts w:hint="default" w:ascii="Times New Roman" w:hAnsi="Times New Roman" w:eastAsia="黑体" w:cs="Times New Roman"/>
          <w:b w:val="0"/>
          <w:bCs w:val="0"/>
          <w:color w:val="auto"/>
          <w:spacing w:val="-4"/>
          <w:sz w:val="32"/>
          <w:szCs w:val="32"/>
          <w:highlight w:val="none"/>
          <w:lang w:val="en-US" w:eastAsia="zh-CN"/>
        </w:rPr>
        <w:t>七、其它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1.各学院(部)可参照本文件，自主制定学院(部)科研业绩量化实施标准，用于学院(部)内部实际执行的科研业绩考核和分配。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2.关于论文、知识产权等方面的科研业绩量化标准，将根据上级部门新出台的文件精神及时进行相应调整。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3.未列入本量化标准的科研项目和成果，若对学校及学科发展确有推动作用的，教师本人提出申请，学院学术分委员会讨论并给出初步意见，再提交校学术委员会审定后，予以计算科研业绩。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方正小标宋_GBK" w:cs="Times New Roman"/>
          <w:b w:val="0"/>
          <w:bCs w:val="0"/>
          <w:color w:val="auto"/>
          <w:spacing w:val="-6"/>
          <w:kern w:val="44"/>
          <w:sz w:val="44"/>
          <w:szCs w:val="44"/>
          <w:highlight w:val="none"/>
          <w:lang w:val="en-US" w:eastAsia="zh-CN" w:bidi="en-US"/>
        </w:rPr>
      </w:pPr>
      <w:r>
        <w:rPr>
          <w:rFonts w:hint="default" w:ascii="Times New Roman" w:hAnsi="Times New Roman" w:eastAsia="仿宋_GB2312" w:cs="Times New Roman"/>
          <w:color w:val="auto"/>
          <w:sz w:val="32"/>
          <w:szCs w:val="32"/>
          <w:highlight w:val="none"/>
          <w:lang w:val="en-US" w:eastAsia="zh-CN"/>
        </w:rPr>
        <w:t>4.本文件自2024年</w:t>
      </w:r>
      <w:r>
        <w:rPr>
          <w:rFonts w:hint="eastAsia" w:ascii="Times New Roman" w:hAnsi="Times New Roman" w:eastAsia="仿宋_GB2312" w:cs="Times New Roman"/>
          <w:color w:val="auto"/>
          <w:sz w:val="32"/>
          <w:szCs w:val="32"/>
          <w:highlight w:val="none"/>
          <w:lang w:val="en-US" w:eastAsia="zh-CN"/>
        </w:rPr>
        <w:t>1月1</w:t>
      </w:r>
      <w:r>
        <w:rPr>
          <w:rFonts w:hint="eastAsia"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val="en-US" w:eastAsia="zh-CN"/>
        </w:rPr>
        <w:t>起开始执行，由科研处负责解释。</w:t>
      </w: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ind w:left="0" w:leftChars="0" w:firstLine="0" w:firstLineChars="0"/>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tbl>
      <w:tblPr>
        <w:tblStyle w:val="6"/>
        <w:tblpPr w:leftFromText="180" w:rightFromText="180" w:vertAnchor="text" w:horzAnchor="page" w:tblpX="1850" w:tblpY="874"/>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noWrap w:val="0"/>
            <w:vAlign w:val="center"/>
          </w:tcPr>
          <w:p>
            <w:pPr>
              <w:keepNext w:val="0"/>
              <w:keepLines w:val="0"/>
              <w:pageBreakBefore w:val="0"/>
              <w:widowControl w:val="0"/>
              <w:kinsoku/>
              <w:wordWrap/>
              <w:overflowPunct/>
              <w:topLinePunct/>
              <w:autoSpaceDE/>
              <w:autoSpaceDN/>
              <w:bidi w:val="0"/>
              <w:spacing w:line="600" w:lineRule="exact"/>
              <w:ind w:firstLine="280" w:firstLineChars="100"/>
              <w:textAlignment w:val="auto"/>
              <w:rPr>
                <w:rFonts w:hint="default" w:ascii="Times New Roman" w:hAnsi="Times New Roman" w:eastAsia="仿宋_GB2312" w:cs="Times New Roman"/>
                <w:color w:val="auto"/>
                <w:sz w:val="28"/>
                <w:szCs w:val="28"/>
                <w14:ligatures w14:val="none"/>
              </w:rPr>
            </w:pPr>
            <w:r>
              <w:rPr>
                <w:rFonts w:hint="default" w:ascii="Times New Roman" w:hAnsi="Times New Roman" w:eastAsia="仿宋_GB2312" w:cs="Times New Roman"/>
                <w:color w:val="auto"/>
                <w:sz w:val="28"/>
                <w:szCs w:val="28"/>
                <w14:ligatures w14:val="none"/>
              </w:rPr>
              <w:t xml:space="preserve">温州理工学院校长办公室        </w:t>
            </w:r>
            <w:r>
              <w:rPr>
                <w:rFonts w:hint="eastAsia" w:eastAsia="仿宋_GB2312" w:cs="Times New Roman"/>
                <w:color w:val="auto"/>
                <w:sz w:val="28"/>
                <w:szCs w:val="28"/>
                <w:lang w:val="en-US" w:eastAsia="zh-CN"/>
                <w14:ligatures w14:val="none"/>
              </w:rPr>
              <w:t xml:space="preserve"> </w:t>
            </w:r>
            <w:r>
              <w:rPr>
                <w:rFonts w:hint="default" w:ascii="Times New Roman" w:hAnsi="Times New Roman" w:eastAsia="仿宋_GB2312" w:cs="Times New Roman"/>
                <w:color w:val="auto"/>
                <w:sz w:val="28"/>
                <w:szCs w:val="28"/>
                <w14:ligatures w14:val="none"/>
              </w:rPr>
              <w:t xml:space="preserve">     2024年</w:t>
            </w:r>
            <w:r>
              <w:rPr>
                <w:rFonts w:hint="default" w:ascii="Times New Roman" w:hAnsi="Times New Roman" w:eastAsia="仿宋_GB2312" w:cs="Times New Roman"/>
                <w:color w:val="auto"/>
                <w:sz w:val="28"/>
                <w:szCs w:val="28"/>
                <w:lang w:val="en-US" w:eastAsia="zh-CN"/>
                <w14:ligatures w14:val="none"/>
              </w:rPr>
              <w:t>4</w:t>
            </w:r>
            <w:r>
              <w:rPr>
                <w:rFonts w:hint="default" w:ascii="Times New Roman" w:hAnsi="Times New Roman" w:eastAsia="仿宋_GB2312" w:cs="Times New Roman"/>
                <w:color w:val="auto"/>
                <w:sz w:val="28"/>
                <w:szCs w:val="28"/>
                <w14:ligatures w14:val="none"/>
              </w:rPr>
              <w:t>月</w:t>
            </w:r>
            <w:r>
              <w:rPr>
                <w:rFonts w:hint="default" w:ascii="Times New Roman" w:hAnsi="Times New Roman" w:eastAsia="仿宋_GB2312" w:cs="Times New Roman"/>
                <w:color w:val="auto"/>
                <w:sz w:val="28"/>
                <w:szCs w:val="28"/>
                <w:lang w:val="en-US" w:eastAsia="zh-CN"/>
                <w14:ligatures w14:val="none"/>
              </w:rPr>
              <w:t>2</w:t>
            </w:r>
            <w:r>
              <w:rPr>
                <w:rFonts w:hint="default" w:ascii="Times New Roman" w:hAnsi="Times New Roman" w:eastAsia="仿宋_GB2312" w:cs="Times New Roman"/>
                <w:color w:val="auto"/>
                <w:sz w:val="28"/>
                <w:szCs w:val="28"/>
                <w14:ligatures w14:val="none"/>
              </w:rPr>
              <w:t>日印发</w:t>
            </w:r>
          </w:p>
        </w:tc>
      </w:tr>
    </w:tbl>
    <w:p>
      <w:pPr>
        <w:pStyle w:val="2"/>
        <w:ind w:left="0" w:leftChars="0" w:firstLine="0" w:firstLineChars="0"/>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32"/>
                            </w:rPr>
                          </w:pPr>
                          <w:r>
                            <w:rPr>
                              <w:sz w:val="28"/>
                              <w:szCs w:val="32"/>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32"/>
                      </w:rPr>
                    </w:pPr>
                    <w:r>
                      <w:rPr>
                        <w:sz w:val="28"/>
                        <w:szCs w:val="32"/>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forms" w:enforcement="1" w:cryptProviderType="rsaFull" w:cryptAlgorithmClass="hash" w:cryptAlgorithmType="typeAny" w:cryptAlgorithmSid="4" w:cryptSpinCount="0" w:hash="Ci66UavoqmAGQNAOHVNpNM2lxI4=" w:salt="RdGwbrT+I2tbGG7r4Jskd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67897C63"/>
    <w:rsid w:val="0067722F"/>
    <w:rsid w:val="007756C4"/>
    <w:rsid w:val="00F50429"/>
    <w:rsid w:val="012F5F9F"/>
    <w:rsid w:val="01366724"/>
    <w:rsid w:val="02B524D4"/>
    <w:rsid w:val="05524952"/>
    <w:rsid w:val="05CD222A"/>
    <w:rsid w:val="067F52D3"/>
    <w:rsid w:val="06D03D80"/>
    <w:rsid w:val="070E6657"/>
    <w:rsid w:val="075E75DE"/>
    <w:rsid w:val="08624EAC"/>
    <w:rsid w:val="08A54332"/>
    <w:rsid w:val="095E38C5"/>
    <w:rsid w:val="0B0C10FF"/>
    <w:rsid w:val="0BF95B27"/>
    <w:rsid w:val="0C523489"/>
    <w:rsid w:val="0C7D0506"/>
    <w:rsid w:val="0EFC6F26"/>
    <w:rsid w:val="0F264E85"/>
    <w:rsid w:val="0FCF4F15"/>
    <w:rsid w:val="10134CDE"/>
    <w:rsid w:val="101A606C"/>
    <w:rsid w:val="112A6783"/>
    <w:rsid w:val="119360D6"/>
    <w:rsid w:val="122218DF"/>
    <w:rsid w:val="123E4294"/>
    <w:rsid w:val="124F64A1"/>
    <w:rsid w:val="12E0359D"/>
    <w:rsid w:val="12FE3A23"/>
    <w:rsid w:val="143A53AC"/>
    <w:rsid w:val="163A7468"/>
    <w:rsid w:val="16F220F5"/>
    <w:rsid w:val="17AA5F28"/>
    <w:rsid w:val="17BB6387"/>
    <w:rsid w:val="17EB6C6C"/>
    <w:rsid w:val="190D42EB"/>
    <w:rsid w:val="19F94F44"/>
    <w:rsid w:val="1B8D003A"/>
    <w:rsid w:val="1BDD2D6F"/>
    <w:rsid w:val="1E746983"/>
    <w:rsid w:val="1F9574BD"/>
    <w:rsid w:val="1FC35DD8"/>
    <w:rsid w:val="208A4B48"/>
    <w:rsid w:val="219C191A"/>
    <w:rsid w:val="219F2875"/>
    <w:rsid w:val="228C104B"/>
    <w:rsid w:val="231B5F2B"/>
    <w:rsid w:val="23FE1AD5"/>
    <w:rsid w:val="2419690F"/>
    <w:rsid w:val="25A86E08"/>
    <w:rsid w:val="26B96187"/>
    <w:rsid w:val="29471828"/>
    <w:rsid w:val="29FF65A7"/>
    <w:rsid w:val="2A21651D"/>
    <w:rsid w:val="2A677CA8"/>
    <w:rsid w:val="2B996587"/>
    <w:rsid w:val="2D0F6B01"/>
    <w:rsid w:val="2D462303"/>
    <w:rsid w:val="2EA15E7F"/>
    <w:rsid w:val="2FA01C92"/>
    <w:rsid w:val="2FFB15BE"/>
    <w:rsid w:val="302D729E"/>
    <w:rsid w:val="31EF5153"/>
    <w:rsid w:val="33837901"/>
    <w:rsid w:val="33D12DEC"/>
    <w:rsid w:val="33DB598F"/>
    <w:rsid w:val="34670FD0"/>
    <w:rsid w:val="34B820C4"/>
    <w:rsid w:val="34F33406"/>
    <w:rsid w:val="35042CC3"/>
    <w:rsid w:val="36A6627C"/>
    <w:rsid w:val="36C4095C"/>
    <w:rsid w:val="371F5B92"/>
    <w:rsid w:val="37645C9B"/>
    <w:rsid w:val="387610B1"/>
    <w:rsid w:val="3A046503"/>
    <w:rsid w:val="3A5A5133"/>
    <w:rsid w:val="3C495460"/>
    <w:rsid w:val="3C4E0CC8"/>
    <w:rsid w:val="3C51713E"/>
    <w:rsid w:val="3CD64F45"/>
    <w:rsid w:val="3E677D82"/>
    <w:rsid w:val="3F512FA9"/>
    <w:rsid w:val="40330901"/>
    <w:rsid w:val="405368AD"/>
    <w:rsid w:val="40DC2D46"/>
    <w:rsid w:val="40E37C31"/>
    <w:rsid w:val="413D1A37"/>
    <w:rsid w:val="423C1CEE"/>
    <w:rsid w:val="427C658F"/>
    <w:rsid w:val="438F5E4E"/>
    <w:rsid w:val="43A55671"/>
    <w:rsid w:val="44CF5718"/>
    <w:rsid w:val="45B95404"/>
    <w:rsid w:val="460214B0"/>
    <w:rsid w:val="46410270"/>
    <w:rsid w:val="46767799"/>
    <w:rsid w:val="477305A8"/>
    <w:rsid w:val="47B440D5"/>
    <w:rsid w:val="483671E0"/>
    <w:rsid w:val="48594C7C"/>
    <w:rsid w:val="4B8E67AB"/>
    <w:rsid w:val="4B993361"/>
    <w:rsid w:val="4BDE3E16"/>
    <w:rsid w:val="4BE07B8E"/>
    <w:rsid w:val="4CD15729"/>
    <w:rsid w:val="4D267823"/>
    <w:rsid w:val="4D910D42"/>
    <w:rsid w:val="4F1A33B7"/>
    <w:rsid w:val="500F0A42"/>
    <w:rsid w:val="5025548C"/>
    <w:rsid w:val="510C6D30"/>
    <w:rsid w:val="51A5400F"/>
    <w:rsid w:val="51F15F26"/>
    <w:rsid w:val="5314011E"/>
    <w:rsid w:val="555869E7"/>
    <w:rsid w:val="569F0646"/>
    <w:rsid w:val="57E52089"/>
    <w:rsid w:val="5954396A"/>
    <w:rsid w:val="59C3464B"/>
    <w:rsid w:val="59CF4D9E"/>
    <w:rsid w:val="59FF38D6"/>
    <w:rsid w:val="5A845B89"/>
    <w:rsid w:val="5A932270"/>
    <w:rsid w:val="5B307ABF"/>
    <w:rsid w:val="5BBE50CA"/>
    <w:rsid w:val="5BE865EB"/>
    <w:rsid w:val="5D1C479E"/>
    <w:rsid w:val="5D2B2B8E"/>
    <w:rsid w:val="5E0D40E7"/>
    <w:rsid w:val="5F1514A5"/>
    <w:rsid w:val="5F6D308F"/>
    <w:rsid w:val="5FC30F01"/>
    <w:rsid w:val="6039313D"/>
    <w:rsid w:val="60870181"/>
    <w:rsid w:val="60CC64DC"/>
    <w:rsid w:val="61164C5A"/>
    <w:rsid w:val="6151078F"/>
    <w:rsid w:val="6189617B"/>
    <w:rsid w:val="61932B55"/>
    <w:rsid w:val="61A42FB4"/>
    <w:rsid w:val="61A86601"/>
    <w:rsid w:val="61C465CF"/>
    <w:rsid w:val="626764BC"/>
    <w:rsid w:val="638B7F88"/>
    <w:rsid w:val="64D12312"/>
    <w:rsid w:val="67897C63"/>
    <w:rsid w:val="68660FC4"/>
    <w:rsid w:val="68776D2D"/>
    <w:rsid w:val="68D45F2D"/>
    <w:rsid w:val="68DA0086"/>
    <w:rsid w:val="68EF14BD"/>
    <w:rsid w:val="691E53FA"/>
    <w:rsid w:val="6A86594D"/>
    <w:rsid w:val="6B637A3C"/>
    <w:rsid w:val="6B8C2AEF"/>
    <w:rsid w:val="6C7C2B64"/>
    <w:rsid w:val="6D36009A"/>
    <w:rsid w:val="6DEE183F"/>
    <w:rsid w:val="6E3000AA"/>
    <w:rsid w:val="6EED1AF7"/>
    <w:rsid w:val="6F467459"/>
    <w:rsid w:val="6F593630"/>
    <w:rsid w:val="71213CDA"/>
    <w:rsid w:val="71940950"/>
    <w:rsid w:val="728269FA"/>
    <w:rsid w:val="72E15E16"/>
    <w:rsid w:val="72F62F44"/>
    <w:rsid w:val="731F693F"/>
    <w:rsid w:val="73BC23E0"/>
    <w:rsid w:val="73FE47A6"/>
    <w:rsid w:val="75E874BC"/>
    <w:rsid w:val="773F135E"/>
    <w:rsid w:val="774C75D7"/>
    <w:rsid w:val="784F737E"/>
    <w:rsid w:val="790E7239"/>
    <w:rsid w:val="795804B5"/>
    <w:rsid w:val="7A1F7224"/>
    <w:rsid w:val="7A5F5873"/>
    <w:rsid w:val="7A684727"/>
    <w:rsid w:val="7A85177D"/>
    <w:rsid w:val="7D9B4E14"/>
    <w:rsid w:val="7DD345AE"/>
    <w:rsid w:val="7E01736D"/>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Calibri" w:hAnsi="Calibri" w:eastAsia="宋体" w:cs="黑体"/>
    </w:rPr>
  </w:style>
  <w:style w:type="paragraph" w:styleId="3">
    <w:name w:val="Body Text"/>
    <w:basedOn w:val="1"/>
    <w:next w:val="2"/>
    <w:autoRedefine/>
    <w:qFormat/>
    <w:uiPriority w:val="0"/>
    <w:pPr>
      <w:spacing w:after="120"/>
    </w:pPr>
    <w:rPr>
      <w:rFonts w:ascii="等线" w:hAnsi="等线" w:eastAsia="等线"/>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2024-03-25T02:11:00Z</dcterms:created>
  <dc:creator>毛传雨</dc:creator>
  <cp:lastModifiedBy>道</cp:lastModifiedBy>
  <cp:lastPrinted>2024-04-08T02:30:03Z</cp:lastPrinted>
  <dcterms:modified xsi:type="dcterms:W3CDTF">2024-04-08T02:30:56Z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9BD923806C0749DA84AD3DE479EF315B_13</vt:lpwstr>
  </property>
</Properties>
</file>