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F11526D">
      <w:pPr>
        <w:pStyle w:val="2"/>
        <w:keepNext w:val="0"/>
        <w:keepLines w:val="0"/>
        <w:pageBreakBefore w:val="0"/>
        <w:tabs>
          <w:tab w:val="center" w:pos="4153"/>
          <w:tab w:val="right" w:pos="8306"/>
        </w:tabs>
        <w:kinsoku/>
        <w:wordWrap/>
        <w:overflowPunct/>
        <w:topLinePunct w:val="0"/>
        <w:autoSpaceDE/>
        <w:autoSpaceDN/>
        <w:bidi w:val="0"/>
        <w:spacing w:line="620" w:lineRule="exact"/>
        <w:textAlignment w:val="auto"/>
        <w:rPr>
          <w:rFonts w:hint="default" w:ascii="Times New Roman" w:hAnsi="Times New Roman" w:eastAsia="黑体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黑体" w:cs="Times New Roman"/>
          <w:kern w:val="2"/>
          <w:sz w:val="32"/>
          <w:szCs w:val="32"/>
          <w:lang w:val="en-US" w:eastAsia="zh-CN" w:bidi="ar-SA"/>
        </w:rPr>
        <w:t>附件1</w:t>
      </w:r>
    </w:p>
    <w:p w14:paraId="766C4AF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20" w:lineRule="exact"/>
        <w:jc w:val="center"/>
        <w:textAlignment w:val="auto"/>
        <w:rPr>
          <w:rFonts w:hint="default" w:ascii="Times New Roman" w:hAnsi="Times New Roman" w:eastAsia="方正小标宋简体" w:cs="Times New Roman"/>
          <w:kern w:val="2"/>
          <w:sz w:val="44"/>
          <w:szCs w:val="44"/>
        </w:rPr>
      </w:pPr>
    </w:p>
    <w:p w14:paraId="49C96D56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2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kern w:val="2"/>
          <w:sz w:val="44"/>
          <w:szCs w:val="44"/>
        </w:rPr>
        <w:t>202</w:t>
      </w:r>
      <w:r>
        <w:rPr>
          <w:rFonts w:hint="eastAsia" w:ascii="Times New Roman" w:hAnsi="Times New Roman" w:eastAsia="方正小标宋简体" w:cs="Times New Roman"/>
          <w:kern w:val="2"/>
          <w:sz w:val="44"/>
          <w:szCs w:val="44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</w:rPr>
        <w:t>年度浙江省人力资源和社会保障</w:t>
      </w: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eastAsia="zh-CN"/>
        </w:rPr>
        <w:t>课题</w:t>
      </w:r>
    </w:p>
    <w:p w14:paraId="3DD25036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2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eastAsia="zh-CN"/>
        </w:rPr>
        <w:t>选题</w:t>
      </w: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</w:rPr>
        <w:t>指南</w:t>
      </w:r>
    </w:p>
    <w:p w14:paraId="3928DEFB">
      <w:pPr>
        <w:pStyle w:val="2"/>
        <w:keepNext w:val="0"/>
        <w:keepLines w:val="0"/>
        <w:pageBreakBefore w:val="0"/>
        <w:tabs>
          <w:tab w:val="center" w:pos="4153"/>
          <w:tab w:val="right" w:pos="8306"/>
        </w:tabs>
        <w:kinsoku/>
        <w:wordWrap/>
        <w:overflowPunct/>
        <w:topLinePunct w:val="0"/>
        <w:autoSpaceDE/>
        <w:autoSpaceDN/>
        <w:bidi w:val="0"/>
        <w:spacing w:line="620" w:lineRule="exact"/>
        <w:textAlignment w:val="auto"/>
        <w:rPr>
          <w:rFonts w:hint="eastAsia"/>
          <w:sz w:val="44"/>
          <w:szCs w:val="44"/>
        </w:rPr>
      </w:pPr>
    </w:p>
    <w:p w14:paraId="6E580ADA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  <w:lang w:eastAsia="zh-CN"/>
        </w:rPr>
        <w:t>一、</w:t>
      </w:r>
      <w:r>
        <w:rPr>
          <w:rFonts w:hint="eastAsia" w:ascii="黑体" w:hAnsi="黑体" w:eastAsia="黑体"/>
          <w:sz w:val="32"/>
          <w:szCs w:val="32"/>
        </w:rPr>
        <w:t>重点课题</w:t>
      </w:r>
    </w:p>
    <w:p w14:paraId="4B43454E"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default" w:ascii="楷体_GB2312" w:hAnsi="仿宋_GB2312" w:eastAsia="楷体_GB2312" w:cs="仿宋_GB2312"/>
          <w:sz w:val="32"/>
          <w:szCs w:val="32"/>
          <w:lang w:val="en-US" w:eastAsia="zh-CN" w:bidi="ar"/>
        </w:rPr>
      </w:pPr>
      <w:r>
        <w:rPr>
          <w:rFonts w:hint="default" w:ascii="楷体_GB2312" w:hAnsi="仿宋_GB2312" w:eastAsia="楷体_GB2312" w:cs="仿宋_GB2312"/>
          <w:sz w:val="32"/>
          <w:szCs w:val="32"/>
          <w:lang w:val="en-US" w:eastAsia="zh-CN" w:bidi="ar"/>
        </w:rPr>
        <w:t>高质量充分就业促进富民增收研究</w:t>
      </w:r>
    </w:p>
    <w:p w14:paraId="7060029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主要研究内容：深入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分析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我省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“十五五”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时期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实现高质量充分就业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面临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的主要问题和亟待突破的瓶颈，找准通过就业促进居民增收的突破点和着力点，提出高质量充分就业促进富民增收的思路和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对策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建议。</w:t>
      </w:r>
    </w:p>
    <w:p w14:paraId="5215B850"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default" w:ascii="楷体_GB2312" w:hAnsi="仿宋_GB2312" w:eastAsia="楷体_GB2312" w:cs="仿宋_GB2312"/>
          <w:sz w:val="32"/>
          <w:szCs w:val="32"/>
          <w:lang w:val="en-US" w:eastAsia="zh-CN" w:bidi="ar"/>
        </w:rPr>
      </w:pPr>
      <w:r>
        <w:rPr>
          <w:rFonts w:hint="default" w:ascii="楷体_GB2312" w:hAnsi="仿宋_GB2312" w:eastAsia="楷体_GB2312" w:cs="仿宋_GB2312"/>
          <w:sz w:val="32"/>
          <w:szCs w:val="32"/>
          <w:lang w:val="en-US" w:eastAsia="zh-CN" w:bidi="ar"/>
        </w:rPr>
        <w:t>全球供应链产业链重构对浙江就业的影响</w:t>
      </w:r>
    </w:p>
    <w:p w14:paraId="29F9D0D4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主要研究内容：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深入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分析全球产业链供应链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重构的形势和特点，认真研判其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对浙江就业产生的趋势性影响，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特别是对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传统产业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和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新兴产业在就业规模、结构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及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技能需求等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方面的影响，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提出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有针对性的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对策建议。</w:t>
      </w:r>
    </w:p>
    <w:p w14:paraId="68F7561B">
      <w:pPr>
        <w:keepNext w:val="0"/>
        <w:keepLines w:val="0"/>
        <w:pageBreakBefore w:val="0"/>
        <w:numPr>
          <w:ilvl w:val="0"/>
          <w:numId w:val="0"/>
        </w:numPr>
        <w:tabs>
          <w:tab w:val="left" w:pos="840"/>
        </w:tabs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仿宋_GB2312" w:eastAsia="楷体_GB2312" w:cs="仿宋_GB2312"/>
          <w:sz w:val="32"/>
          <w:szCs w:val="32"/>
          <w:lang w:val="en-US" w:eastAsia="zh-CN" w:bidi="ar"/>
        </w:rPr>
        <w:t>（三）我省青年就业创业状况及对策研究</w:t>
      </w:r>
    </w:p>
    <w:p w14:paraId="0DADDBBF">
      <w:pPr>
        <w:keepNext w:val="0"/>
        <w:keepLines w:val="0"/>
        <w:pageBreakBefore w:val="0"/>
        <w:numPr>
          <w:ilvl w:val="0"/>
          <w:numId w:val="0"/>
        </w:numPr>
        <w:tabs>
          <w:tab w:val="left" w:pos="840"/>
          <w:tab w:val="left" w:pos="1160"/>
        </w:tabs>
        <w:kinsoku/>
        <w:wordWrap/>
        <w:overflowPunct/>
        <w:topLinePunct w:val="0"/>
        <w:autoSpaceDE/>
        <w:autoSpaceDN/>
        <w:bidi w:val="0"/>
        <w:spacing w:line="620" w:lineRule="exact"/>
        <w:ind w:firstLine="640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主要研究内容：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以16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—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35周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岁青年为研究对象，分析近年来我省青年就业创业的新形势、新特点、新问题，重点关注高校毕业生、新兴行业就业青年及创业青年等就业群体，深入分析青年群体的就业创业需求，研究提出促进我省青年高质量就业创业的对策建议。</w:t>
      </w:r>
    </w:p>
    <w:p w14:paraId="3EC349E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default" w:ascii="楷体_GB2312" w:hAnsi="仿宋_GB2312" w:eastAsia="楷体_GB2312" w:cs="仿宋_GB2312"/>
          <w:sz w:val="32"/>
          <w:szCs w:val="32"/>
          <w:lang w:val="en-US" w:eastAsia="zh-CN" w:bidi="ar"/>
        </w:rPr>
      </w:pPr>
      <w:r>
        <w:rPr>
          <w:rFonts w:hint="eastAsia" w:ascii="楷体_GB2312" w:hAnsi="仿宋_GB2312" w:eastAsia="楷体_GB2312" w:cs="仿宋_GB2312"/>
          <w:sz w:val="32"/>
          <w:szCs w:val="32"/>
          <w:lang w:val="en-US" w:eastAsia="zh-CN" w:bidi="ar"/>
        </w:rPr>
        <w:t>（四）</w:t>
      </w:r>
      <w:r>
        <w:rPr>
          <w:rFonts w:hint="default" w:ascii="楷体_GB2312" w:hAnsi="仿宋_GB2312" w:eastAsia="楷体_GB2312" w:cs="仿宋_GB2312"/>
          <w:sz w:val="32"/>
          <w:szCs w:val="32"/>
          <w:lang w:val="en-US" w:eastAsia="zh-CN" w:bidi="ar"/>
        </w:rPr>
        <w:t>我省高水平科技创新人才培养机制研究</w:t>
      </w:r>
    </w:p>
    <w:p w14:paraId="4A6BAAB7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主要研究内容：围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绕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教育科技人才一体改革以及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科技创新和产业创新深度融合发展，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聚焦科技创新重大平台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，深入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分析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科技创新人才培养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模式及存在的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问题，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有针对性地提出提升高水平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科技创新人才培养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质量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的对策建议。</w:t>
      </w:r>
    </w:p>
    <w:p w14:paraId="6D795139">
      <w:pPr>
        <w:keepNext w:val="0"/>
        <w:keepLines w:val="0"/>
        <w:pageBreakBefore w:val="0"/>
        <w:numPr>
          <w:ilvl w:val="0"/>
          <w:numId w:val="0"/>
        </w:numPr>
        <w:tabs>
          <w:tab w:val="left" w:pos="840"/>
          <w:tab w:val="left" w:pos="1160"/>
        </w:tabs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仿宋_GB2312" w:eastAsia="楷体_GB2312" w:cs="仿宋_GB2312"/>
          <w:sz w:val="32"/>
          <w:szCs w:val="32"/>
          <w:lang w:val="en-US" w:eastAsia="zh-CN" w:bidi="ar"/>
        </w:rPr>
        <w:t>（五）推动我省人力资源服务业创新发展研究</w:t>
      </w:r>
    </w:p>
    <w:p w14:paraId="76150459">
      <w:pPr>
        <w:keepNext w:val="0"/>
        <w:keepLines w:val="0"/>
        <w:pageBreakBefore w:val="0"/>
        <w:numPr>
          <w:ilvl w:val="0"/>
          <w:numId w:val="0"/>
        </w:numPr>
        <w:tabs>
          <w:tab w:val="left" w:pos="840"/>
          <w:tab w:val="left" w:pos="1160"/>
        </w:tabs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主要研究内容：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深入分析当前和今后一个时期我省人力资源服务业发展趋势，探索构建我省人力资源服务业创新发展的指标体系，提出推动人力资源服务业专业化、数字化、智能化、国际化创新发展的路径和对策建议。</w:t>
      </w:r>
    </w:p>
    <w:p w14:paraId="60F5ACC0">
      <w:pPr>
        <w:keepNext w:val="0"/>
        <w:keepLines w:val="0"/>
        <w:pageBreakBefore w:val="0"/>
        <w:numPr>
          <w:ilvl w:val="0"/>
          <w:numId w:val="0"/>
        </w:numPr>
        <w:tabs>
          <w:tab w:val="left" w:pos="840"/>
          <w:tab w:val="left" w:pos="1160"/>
        </w:tabs>
        <w:kinsoku/>
        <w:wordWrap/>
        <w:overflowPunct/>
        <w:topLinePunct w:val="0"/>
        <w:autoSpaceDE/>
        <w:autoSpaceDN/>
        <w:bidi w:val="0"/>
        <w:spacing w:line="620" w:lineRule="exact"/>
        <w:ind w:firstLine="640"/>
        <w:textAlignment w:val="auto"/>
        <w:rPr>
          <w:rFonts w:hint="default" w:ascii="楷体_GB2312" w:hAnsi="仿宋_GB2312" w:eastAsia="楷体_GB2312" w:cs="仿宋_GB2312"/>
          <w:sz w:val="32"/>
          <w:szCs w:val="32"/>
          <w:lang w:val="en-US" w:eastAsia="zh-CN" w:bidi="ar"/>
        </w:rPr>
      </w:pPr>
      <w:r>
        <w:rPr>
          <w:rFonts w:hint="eastAsia" w:ascii="楷体_GB2312" w:hAnsi="仿宋_GB2312" w:eastAsia="楷体_GB2312" w:cs="仿宋_GB2312"/>
          <w:sz w:val="32"/>
          <w:szCs w:val="32"/>
          <w:lang w:val="en-US" w:eastAsia="zh-CN" w:bidi="ar"/>
        </w:rPr>
        <w:t>（六）我省</w:t>
      </w:r>
      <w:r>
        <w:rPr>
          <w:rFonts w:hint="default" w:ascii="楷体_GB2312" w:hAnsi="仿宋_GB2312" w:eastAsia="楷体_GB2312" w:cs="仿宋_GB2312"/>
          <w:sz w:val="32"/>
          <w:szCs w:val="32"/>
          <w:lang w:val="en-US" w:eastAsia="zh-CN" w:bidi="ar"/>
        </w:rPr>
        <w:t>民营经济高质量发展人才</w:t>
      </w:r>
      <w:r>
        <w:rPr>
          <w:rFonts w:hint="eastAsia" w:ascii="楷体_GB2312" w:hAnsi="仿宋_GB2312" w:eastAsia="楷体_GB2312" w:cs="仿宋_GB2312"/>
          <w:sz w:val="32"/>
          <w:szCs w:val="32"/>
          <w:lang w:val="en-US" w:eastAsia="zh-CN" w:bidi="ar"/>
        </w:rPr>
        <w:t>支撑</w:t>
      </w:r>
      <w:r>
        <w:rPr>
          <w:rFonts w:hint="default" w:ascii="楷体_GB2312" w:hAnsi="仿宋_GB2312" w:eastAsia="楷体_GB2312" w:cs="仿宋_GB2312"/>
          <w:sz w:val="32"/>
          <w:szCs w:val="32"/>
          <w:lang w:val="en-US" w:eastAsia="zh-CN" w:bidi="ar"/>
        </w:rPr>
        <w:t>研究</w:t>
      </w:r>
    </w:p>
    <w:p w14:paraId="500C2783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主要研究内容：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通过深入调研，摸清我省民营企业人才资源的结构、分布、来源等情况，总结分析我省民营企业人才引进与培养的成效及存在的问题，立足促进民营经济高质量发展，提出加强民营企业人才开发与培养的对策建议。</w:t>
      </w:r>
    </w:p>
    <w:p w14:paraId="0FA48DC7">
      <w:pPr>
        <w:keepNext w:val="0"/>
        <w:keepLines w:val="0"/>
        <w:pageBreakBefore w:val="0"/>
        <w:numPr>
          <w:ilvl w:val="0"/>
          <w:numId w:val="0"/>
        </w:numPr>
        <w:tabs>
          <w:tab w:val="left" w:pos="840"/>
          <w:tab w:val="left" w:pos="1160"/>
        </w:tabs>
        <w:kinsoku/>
        <w:wordWrap/>
        <w:overflowPunct/>
        <w:topLinePunct w:val="0"/>
        <w:autoSpaceDE/>
        <w:autoSpaceDN/>
        <w:bidi w:val="0"/>
        <w:spacing w:line="620" w:lineRule="exact"/>
        <w:ind w:leftChars="304"/>
        <w:textAlignment w:val="auto"/>
        <w:rPr>
          <w:rFonts w:hint="eastAsia" w:ascii="楷体_GB2312" w:hAnsi="仿宋_GB2312" w:eastAsia="楷体_GB2312" w:cs="仿宋_GB2312"/>
          <w:sz w:val="32"/>
          <w:szCs w:val="32"/>
          <w:lang w:val="en-US" w:eastAsia="zh-CN" w:bidi="ar"/>
        </w:rPr>
      </w:pPr>
      <w:r>
        <w:rPr>
          <w:rFonts w:hint="eastAsia" w:ascii="楷体_GB2312" w:hAnsi="仿宋_GB2312" w:eastAsia="楷体_GB2312" w:cs="仿宋_GB2312"/>
          <w:sz w:val="32"/>
          <w:szCs w:val="32"/>
          <w:lang w:val="en-US" w:eastAsia="zh-CN" w:bidi="ar"/>
        </w:rPr>
        <w:t>（七）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 w:bidi="ar"/>
        </w:rPr>
        <w:t>“</w:t>
      </w:r>
      <w:r>
        <w:rPr>
          <w:rFonts w:hint="eastAsia" w:ascii="楷体_GB2312" w:hAnsi="仿宋_GB2312" w:eastAsia="楷体_GB2312" w:cs="仿宋_GB2312"/>
          <w:sz w:val="32"/>
          <w:szCs w:val="32"/>
          <w:lang w:val="en-US" w:eastAsia="zh-CN" w:bidi="ar"/>
        </w:rPr>
        <w:t>千万工程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 w:bidi="ar"/>
        </w:rPr>
        <w:t>”</w:t>
      </w:r>
      <w:r>
        <w:rPr>
          <w:rFonts w:hint="eastAsia" w:ascii="楷体_GB2312" w:hAnsi="仿宋_GB2312" w:eastAsia="楷体_GB2312" w:cs="仿宋_GB2312"/>
          <w:sz w:val="32"/>
          <w:szCs w:val="32"/>
          <w:lang w:val="en-US" w:eastAsia="zh-CN" w:bidi="ar"/>
        </w:rPr>
        <w:t>牵引下乡村高素养劳动者培养路径研究</w:t>
      </w:r>
    </w:p>
    <w:p w14:paraId="26838275">
      <w:pPr>
        <w:keepNext w:val="0"/>
        <w:keepLines w:val="0"/>
        <w:pageBreakBefore w:val="0"/>
        <w:numPr>
          <w:ilvl w:val="0"/>
          <w:numId w:val="0"/>
        </w:numPr>
        <w:tabs>
          <w:tab w:val="left" w:pos="840"/>
          <w:tab w:val="left" w:pos="1160"/>
        </w:tabs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主要研究内容：立足我省以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“千万工程”牵引城乡融合发展的战略部署，深入调查我省乡村劳动力素质现状，剖析存在问题及其成因，提出打造乡村高素养劳动者队伍的对策建议。</w:t>
      </w:r>
    </w:p>
    <w:p w14:paraId="4241F76D">
      <w:pPr>
        <w:keepNext w:val="0"/>
        <w:keepLines w:val="0"/>
        <w:pageBreakBefore w:val="0"/>
        <w:numPr>
          <w:ilvl w:val="0"/>
          <w:numId w:val="0"/>
        </w:numPr>
        <w:tabs>
          <w:tab w:val="left" w:pos="840"/>
        </w:tabs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eastAsia" w:ascii="楷体_GB2312" w:hAnsi="仿宋_GB2312" w:eastAsia="楷体_GB2312" w:cs="仿宋_GB2312"/>
          <w:sz w:val="32"/>
          <w:szCs w:val="32"/>
          <w:lang w:val="en-US" w:eastAsia="zh-CN" w:bidi="ar"/>
        </w:rPr>
      </w:pPr>
      <w:r>
        <w:rPr>
          <w:rFonts w:hint="eastAsia" w:ascii="楷体_GB2312" w:hAnsi="仿宋_GB2312" w:eastAsia="楷体_GB2312" w:cs="仿宋_GB2312"/>
          <w:sz w:val="32"/>
          <w:szCs w:val="32"/>
          <w:lang w:val="en-US" w:eastAsia="zh-CN" w:bidi="ar"/>
        </w:rPr>
        <w:t>（八）我省完善劳务品牌体系建设研究</w:t>
      </w:r>
    </w:p>
    <w:p w14:paraId="3D7BF7C9">
      <w:pPr>
        <w:keepNext w:val="0"/>
        <w:keepLines w:val="0"/>
        <w:pageBreakBefore w:val="0"/>
        <w:numPr>
          <w:ilvl w:val="0"/>
          <w:numId w:val="0"/>
        </w:numPr>
        <w:tabs>
          <w:tab w:val="left" w:pos="840"/>
          <w:tab w:val="left" w:pos="1160"/>
        </w:tabs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eastAsia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主要研究内容：围绕我省高质量发展建设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共同富裕示范区的使命任务，深入分析全省各地劳务品牌的地域特色、行业特征、技能特点和存在的问题，研究提出推进劳务品牌体系建设的对策建议。</w:t>
      </w:r>
    </w:p>
    <w:p w14:paraId="342EC96D">
      <w:pPr>
        <w:keepNext w:val="0"/>
        <w:keepLines w:val="0"/>
        <w:pageBreakBefore w:val="0"/>
        <w:numPr>
          <w:ilvl w:val="0"/>
          <w:numId w:val="0"/>
        </w:numPr>
        <w:tabs>
          <w:tab w:val="left" w:pos="840"/>
        </w:tabs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default" w:ascii="楷体_GB2312" w:hAnsi="仿宋_GB2312" w:eastAsia="楷体_GB2312" w:cs="仿宋_GB2312"/>
          <w:sz w:val="32"/>
          <w:szCs w:val="32"/>
          <w:lang w:val="en-US" w:eastAsia="zh-CN" w:bidi="ar"/>
        </w:rPr>
      </w:pPr>
      <w:r>
        <w:rPr>
          <w:rFonts w:hint="eastAsia" w:ascii="楷体_GB2312" w:hAnsi="仿宋_GB2312" w:eastAsia="楷体_GB2312" w:cs="仿宋_GB2312"/>
          <w:sz w:val="32"/>
          <w:szCs w:val="32"/>
          <w:lang w:val="en-US" w:eastAsia="zh-CN" w:bidi="ar"/>
        </w:rPr>
        <w:t>（九）</w:t>
      </w:r>
      <w:r>
        <w:rPr>
          <w:rFonts w:hint="default" w:ascii="楷体_GB2312" w:hAnsi="仿宋_GB2312" w:eastAsia="楷体_GB2312" w:cs="仿宋_GB2312"/>
          <w:sz w:val="32"/>
          <w:szCs w:val="32"/>
          <w:lang w:val="en-US" w:eastAsia="zh-CN" w:bidi="ar"/>
        </w:rPr>
        <w:t>职业技能培训体制机制创新研究</w:t>
      </w:r>
    </w:p>
    <w:p w14:paraId="3330EE5D">
      <w:pPr>
        <w:keepNext w:val="0"/>
        <w:keepLines w:val="0"/>
        <w:pageBreakBefore w:val="0"/>
        <w:numPr>
          <w:ilvl w:val="0"/>
          <w:numId w:val="0"/>
        </w:numPr>
        <w:tabs>
          <w:tab w:val="left" w:pos="840"/>
        </w:tabs>
        <w:kinsoku/>
        <w:wordWrap/>
        <w:overflowPunct/>
        <w:topLinePunct w:val="0"/>
        <w:autoSpaceDE/>
        <w:autoSpaceDN/>
        <w:bidi w:val="0"/>
        <w:spacing w:line="620" w:lineRule="exact"/>
        <w:ind w:firstLine="640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主要研究内容：深刻把握职业技能培训在促进就业、缓解“有人没活干”和“有活没人干”的结构性矛盾、促进产业转型升级及经济高质量发展中的积极作用，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研究借鉴国内外职业技能培训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的有效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模式及经验做法，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剖析我省职业技能培训体制机制存在的问题，研究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提出完善技能培训体制机制的对策建议。</w:t>
      </w:r>
    </w:p>
    <w:p w14:paraId="6562C868">
      <w:pPr>
        <w:keepNext w:val="0"/>
        <w:keepLines w:val="0"/>
        <w:pageBreakBefore w:val="0"/>
        <w:numPr>
          <w:ilvl w:val="0"/>
          <w:numId w:val="0"/>
        </w:numPr>
        <w:tabs>
          <w:tab w:val="left" w:pos="840"/>
          <w:tab w:val="left" w:pos="1160"/>
        </w:tabs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default"/>
          <w:lang w:val="en-US" w:eastAsia="zh-CN"/>
        </w:rPr>
      </w:pPr>
      <w:r>
        <w:rPr>
          <w:rFonts w:hint="eastAsia" w:ascii="楷体_GB2312" w:hAnsi="仿宋_GB2312" w:eastAsia="楷体_GB2312" w:cs="仿宋_GB2312"/>
          <w:sz w:val="32"/>
          <w:szCs w:val="32"/>
          <w:lang w:val="en-US" w:eastAsia="zh-CN" w:bidi="ar"/>
        </w:rPr>
        <w:t>（十）</w:t>
      </w:r>
      <w:r>
        <w:rPr>
          <w:rFonts w:hint="default" w:ascii="楷体_GB2312" w:hAnsi="仿宋_GB2312" w:eastAsia="楷体_GB2312" w:cs="仿宋_GB2312"/>
          <w:sz w:val="32"/>
          <w:szCs w:val="32"/>
          <w:lang w:val="en-US" w:eastAsia="zh-CN" w:bidi="ar"/>
        </w:rPr>
        <w:t>灵活就业和新</w:t>
      </w:r>
      <w:r>
        <w:rPr>
          <w:rFonts w:hint="eastAsia" w:ascii="楷体_GB2312" w:hAnsi="仿宋_GB2312" w:eastAsia="楷体_GB2312" w:cs="仿宋_GB2312"/>
          <w:sz w:val="32"/>
          <w:szCs w:val="32"/>
          <w:lang w:val="en-US" w:eastAsia="zh-CN" w:bidi="ar"/>
        </w:rPr>
        <w:t>就业形态劳动者</w:t>
      </w:r>
      <w:r>
        <w:rPr>
          <w:rFonts w:hint="default" w:ascii="楷体_GB2312" w:hAnsi="仿宋_GB2312" w:eastAsia="楷体_GB2312" w:cs="仿宋_GB2312"/>
          <w:sz w:val="32"/>
          <w:szCs w:val="32"/>
          <w:lang w:val="en-US" w:eastAsia="zh-CN" w:bidi="ar"/>
        </w:rPr>
        <w:t>社保权益保障机制研究</w:t>
      </w:r>
    </w:p>
    <w:p w14:paraId="229B6BE6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主要研究内容：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以浙江为例，深入分析灵活就业和新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就业形态劳动者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社保权益保障现状和存在的问题，从完善制度和健全机制等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维度，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提出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完善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灵活就业和新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就业形态劳动者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社保权益保障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机制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的思路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和对策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建议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。</w:t>
      </w:r>
    </w:p>
    <w:p w14:paraId="5924DA30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default" w:ascii="楷体_GB2312" w:hAnsi="仿宋_GB2312" w:eastAsia="楷体_GB2312" w:cs="仿宋_GB2312"/>
          <w:sz w:val="32"/>
          <w:szCs w:val="32"/>
          <w:lang w:val="en-US" w:eastAsia="zh-CN" w:bidi="ar"/>
        </w:rPr>
      </w:pPr>
      <w:r>
        <w:rPr>
          <w:rFonts w:hint="eastAsia" w:ascii="楷体_GB2312" w:hAnsi="仿宋_GB2312" w:eastAsia="楷体_GB2312" w:cs="仿宋_GB2312"/>
          <w:sz w:val="32"/>
          <w:szCs w:val="32"/>
          <w:lang w:val="en-US" w:eastAsia="zh-CN" w:bidi="ar"/>
        </w:rPr>
        <w:t>（十一）养老金融助推多层次多支柱养老保险体系建设研究</w:t>
      </w:r>
    </w:p>
    <w:p w14:paraId="34567DB0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spacing w:line="620" w:lineRule="exact"/>
        <w:ind w:firstLine="64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主要研究内容：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深入分析目前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我省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养老金融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发展进展情况，剖析养老金融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在推动多层次多支柱养老保险体系发展中存在的问题和制约因素，参考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借鉴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国内外发展经验，研究提出推动养老金融助力多层次多支柱养老保险体系发展的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对策建议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。</w:t>
      </w:r>
    </w:p>
    <w:p w14:paraId="63FAA001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spacing w:line="620" w:lineRule="exact"/>
        <w:ind w:firstLine="640"/>
        <w:jc w:val="left"/>
        <w:textAlignment w:val="auto"/>
        <w:rPr>
          <w:rFonts w:hint="default" w:ascii="Times New Roman" w:hAnsi="Times New Roman" w:eastAsia="方正仿宋_GB2312" w:cs="Times New Roman"/>
          <w:sz w:val="24"/>
          <w:szCs w:val="24"/>
          <w:lang w:val="en-US" w:eastAsia="zh-CN"/>
        </w:rPr>
      </w:pPr>
      <w:r>
        <w:rPr>
          <w:rFonts w:hint="eastAsia" w:ascii="楷体_GB2312" w:hAnsi="仿宋_GB2312" w:eastAsia="楷体_GB2312" w:cs="仿宋_GB2312"/>
          <w:sz w:val="32"/>
          <w:szCs w:val="32"/>
          <w:lang w:val="en-US" w:eastAsia="zh-CN" w:bidi="ar"/>
        </w:rPr>
        <w:t>（十二）</w:t>
      </w:r>
      <w:r>
        <w:rPr>
          <w:rFonts w:hint="default" w:ascii="楷体_GB2312" w:hAnsi="仿宋_GB2312" w:eastAsia="楷体_GB2312" w:cs="仿宋_GB2312"/>
          <w:sz w:val="32"/>
          <w:szCs w:val="32"/>
          <w:lang w:val="en-US" w:eastAsia="zh-CN" w:bidi="ar"/>
        </w:rPr>
        <w:t>新就业形态劳动基准问题研究</w:t>
      </w:r>
    </w:p>
    <w:p w14:paraId="5A5596E2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2312" w:cs="Times New Roman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主要研究内容：深入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分析数字经济发展、算法技术应用对新就业形态劳动的影响，研究新就业形态劳动者劳动基准现状及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存在的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主要问题，探讨规范新就业形态劳动基准内容及相关劳动权益保障的思路和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对策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建议</w:t>
      </w:r>
      <w:r>
        <w:rPr>
          <w:rFonts w:hint="default" w:ascii="Times New Roman" w:hAnsi="Times New Roman" w:eastAsia="方正仿宋_GB2312" w:cs="Times New Roman"/>
          <w:sz w:val="24"/>
          <w:szCs w:val="24"/>
          <w:lang w:val="en-US" w:eastAsia="zh-CN"/>
        </w:rPr>
        <w:t>。</w:t>
      </w:r>
    </w:p>
    <w:p w14:paraId="15D91144">
      <w:pPr>
        <w:keepNext w:val="0"/>
        <w:keepLines w:val="0"/>
        <w:pageBreakBefore w:val="0"/>
        <w:numPr>
          <w:ilvl w:val="0"/>
          <w:numId w:val="0"/>
        </w:numPr>
        <w:tabs>
          <w:tab w:val="left" w:pos="840"/>
        </w:tabs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eastAsia" w:ascii="楷体_GB2312" w:hAnsi="仿宋_GB2312" w:eastAsia="楷体_GB2312" w:cs="仿宋_GB2312"/>
          <w:sz w:val="32"/>
          <w:szCs w:val="32"/>
          <w:lang w:val="en-US" w:eastAsia="zh-CN" w:bidi="ar"/>
        </w:rPr>
      </w:pPr>
      <w:r>
        <w:rPr>
          <w:rFonts w:hint="eastAsia" w:ascii="楷体_GB2312" w:hAnsi="仿宋_GB2312" w:eastAsia="楷体_GB2312" w:cs="仿宋_GB2312"/>
          <w:sz w:val="32"/>
          <w:szCs w:val="32"/>
          <w:lang w:val="en-US" w:eastAsia="zh-CN" w:bidi="ar"/>
        </w:rPr>
        <w:t>（十三）</w:t>
      </w:r>
      <w:r>
        <w:rPr>
          <w:rFonts w:hint="default" w:ascii="楷体_GB2312" w:hAnsi="仿宋_GB2312" w:eastAsia="楷体_GB2312" w:cs="仿宋_GB2312"/>
          <w:sz w:val="32"/>
          <w:szCs w:val="32"/>
          <w:lang w:val="en-US" w:eastAsia="zh-CN" w:bidi="ar"/>
        </w:rPr>
        <w:t>人工智能助力人社</w:t>
      </w:r>
      <w:r>
        <w:rPr>
          <w:rFonts w:hint="eastAsia" w:ascii="楷体_GB2312" w:hAnsi="仿宋_GB2312" w:eastAsia="楷体_GB2312" w:cs="仿宋_GB2312"/>
          <w:sz w:val="32"/>
          <w:szCs w:val="32"/>
          <w:lang w:val="en-US" w:eastAsia="zh-CN" w:bidi="ar"/>
        </w:rPr>
        <w:t>基本</w:t>
      </w:r>
      <w:r>
        <w:rPr>
          <w:rFonts w:hint="default" w:ascii="楷体_GB2312" w:hAnsi="仿宋_GB2312" w:eastAsia="楷体_GB2312" w:cs="仿宋_GB2312"/>
          <w:sz w:val="32"/>
          <w:szCs w:val="32"/>
          <w:lang w:val="en-US" w:eastAsia="zh-CN" w:bidi="ar"/>
        </w:rPr>
        <w:t>公共服务一体化</w:t>
      </w:r>
      <w:r>
        <w:rPr>
          <w:rFonts w:hint="eastAsia" w:ascii="楷体_GB2312" w:hAnsi="仿宋_GB2312" w:eastAsia="楷体_GB2312" w:cs="仿宋_GB2312"/>
          <w:sz w:val="32"/>
          <w:szCs w:val="32"/>
          <w:lang w:val="en-US" w:eastAsia="zh-CN" w:bidi="ar"/>
        </w:rPr>
        <w:t>研究</w:t>
      </w:r>
    </w:p>
    <w:p w14:paraId="762D51BA">
      <w:pPr>
        <w:keepNext w:val="0"/>
        <w:keepLines w:val="0"/>
        <w:pageBreakBefore w:val="0"/>
        <w:numPr>
          <w:ilvl w:val="0"/>
          <w:numId w:val="0"/>
        </w:numPr>
        <w:tabs>
          <w:tab w:val="left" w:pos="840"/>
        </w:tabs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主要研究内容：全面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分析我省人社基本公共服务在城乡、区域、群体间存在的差距，深入剖析产生的原因，结合人工智能的发展趋势，研究提出人工智能助力缩小城乡、区域、群体间人社基本公共服务差距的方法和路径。</w:t>
      </w:r>
    </w:p>
    <w:p w14:paraId="59C30A24">
      <w:pPr>
        <w:keepNext w:val="0"/>
        <w:keepLines w:val="0"/>
        <w:pageBreakBefore w:val="0"/>
        <w:numPr>
          <w:ilvl w:val="0"/>
          <w:numId w:val="3"/>
        </w:numPr>
        <w:tabs>
          <w:tab w:val="left" w:pos="840"/>
          <w:tab w:val="left" w:pos="1160"/>
        </w:tabs>
        <w:kinsoku/>
        <w:wordWrap/>
        <w:overflowPunct/>
        <w:topLinePunct w:val="0"/>
        <w:autoSpaceDE/>
        <w:autoSpaceDN/>
        <w:bidi w:val="0"/>
        <w:spacing w:line="620" w:lineRule="exact"/>
        <w:ind w:left="640" w:leftChars="0" w:firstLine="0" w:firstLineChars="0"/>
        <w:textAlignment w:val="auto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一般课题</w:t>
      </w:r>
    </w:p>
    <w:p w14:paraId="2CE6C8BF">
      <w:pPr>
        <w:keepNext w:val="0"/>
        <w:keepLines w:val="0"/>
        <w:pageBreakBefore w:val="0"/>
        <w:numPr>
          <w:ilvl w:val="0"/>
          <w:numId w:val="4"/>
        </w:numPr>
        <w:tabs>
          <w:tab w:val="left" w:pos="840"/>
          <w:tab w:val="left" w:pos="1160"/>
        </w:tabs>
        <w:kinsoku/>
        <w:wordWrap/>
        <w:overflowPunct/>
        <w:topLinePunct w:val="0"/>
        <w:autoSpaceDE/>
        <w:autoSpaceDN/>
        <w:bidi w:val="0"/>
        <w:spacing w:line="620" w:lineRule="exact"/>
        <w:ind w:left="640" w:leftChars="0"/>
        <w:textAlignment w:val="auto"/>
        <w:rPr>
          <w:rFonts w:hint="eastAsia" w:ascii="楷体_GB2312" w:hAnsi="黑体" w:eastAsia="楷体_GB2312"/>
          <w:sz w:val="32"/>
          <w:szCs w:val="32"/>
        </w:rPr>
      </w:pPr>
      <w:r>
        <w:rPr>
          <w:rFonts w:hint="eastAsia" w:ascii="楷体_GB2312" w:hAnsi="黑体" w:eastAsia="楷体_GB2312"/>
          <w:sz w:val="32"/>
          <w:szCs w:val="32"/>
        </w:rPr>
        <w:t>就业创业</w:t>
      </w:r>
    </w:p>
    <w:p w14:paraId="35AB1951">
      <w:pPr>
        <w:keepNext w:val="0"/>
        <w:keepLines w:val="0"/>
        <w:pageBreakBefore w:val="0"/>
        <w:numPr>
          <w:ilvl w:val="0"/>
          <w:numId w:val="0"/>
        </w:numPr>
        <w:tabs>
          <w:tab w:val="left" w:pos="840"/>
          <w:tab w:val="left" w:pos="1160"/>
        </w:tabs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1.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构建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就业友好型发展方式研究</w:t>
      </w:r>
    </w:p>
    <w:p w14:paraId="4B012411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2.人工智能发展对服务业就业的影响研究</w:t>
      </w:r>
    </w:p>
    <w:p w14:paraId="017885BE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3.促进青年入乡发展对策研究</w:t>
      </w:r>
    </w:p>
    <w:p w14:paraId="568273EC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4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.重点群体就业综合帮扶改革研究</w:t>
      </w:r>
    </w:p>
    <w:p w14:paraId="75BC80DB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5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.完善创业带动就业保障机制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研究</w:t>
      </w:r>
    </w:p>
    <w:p w14:paraId="7ABC8378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6.政企家校协同促进高校毕业生高质量就业研究</w:t>
      </w:r>
    </w:p>
    <w:p w14:paraId="4D2F7F89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7.我省外贸行业就业形势分析及对策研究</w:t>
      </w:r>
    </w:p>
    <w:p w14:paraId="51B53123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8.失业人员再就业问题及对策研究</w:t>
      </w:r>
    </w:p>
    <w:p w14:paraId="250E24C4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9.深</w:t>
      </w:r>
      <w:r>
        <w:rPr>
          <w:rFonts w:hint="eastAsia" w:eastAsia="仿宋_GB2312"/>
          <w:color w:val="auto"/>
          <w:spacing w:val="0"/>
          <w:sz w:val="32"/>
          <w:szCs w:val="32"/>
          <w:highlight w:val="none"/>
          <w:u w:val="none"/>
          <w:lang w:val="en-US" w:eastAsia="zh-CN"/>
        </w:rPr>
        <w:t>化东西部劳务协作研究</w:t>
      </w:r>
    </w:p>
    <w:p w14:paraId="20F39A16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10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.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基层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就业创业综合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服务站点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建设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研究</w:t>
      </w:r>
    </w:p>
    <w:p w14:paraId="28312430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eastAsia" w:ascii="楷体_GB2312" w:hAnsi="黑体" w:eastAsia="楷体_GB2312"/>
          <w:sz w:val="32"/>
          <w:szCs w:val="32"/>
        </w:rPr>
      </w:pPr>
      <w:r>
        <w:rPr>
          <w:rFonts w:hint="eastAsia" w:ascii="楷体_GB2312" w:hAnsi="黑体" w:eastAsia="楷体_GB2312"/>
          <w:sz w:val="32"/>
          <w:szCs w:val="32"/>
          <w:lang w:eastAsia="zh-CN"/>
        </w:rPr>
        <w:t>（二）社会保障</w:t>
      </w:r>
    </w:p>
    <w:p w14:paraId="4729000C">
      <w:pPr>
        <w:pStyle w:val="2"/>
        <w:keepNext w:val="0"/>
        <w:keepLines w:val="0"/>
        <w:pageBreakBefore w:val="0"/>
        <w:widowControl w:val="0"/>
        <w:tabs>
          <w:tab w:val="center" w:pos="4153"/>
          <w:tab w:val="right" w:pos="8306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2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1.人口老龄化对养老保险基金运行影响及对策研究</w:t>
      </w:r>
    </w:p>
    <w:p w14:paraId="68A9AF32">
      <w:pPr>
        <w:pStyle w:val="2"/>
        <w:keepNext w:val="0"/>
        <w:keepLines w:val="0"/>
        <w:pageBreakBefore w:val="0"/>
        <w:widowControl w:val="0"/>
        <w:tabs>
          <w:tab w:val="center" w:pos="4153"/>
          <w:tab w:val="right" w:pos="8306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2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2.延迟退休年龄对养老保险基金可持续性影响分析研究</w:t>
      </w:r>
    </w:p>
    <w:p w14:paraId="119F7F2E">
      <w:pPr>
        <w:pStyle w:val="2"/>
        <w:keepNext w:val="0"/>
        <w:keepLines w:val="0"/>
        <w:pageBreakBefore w:val="0"/>
        <w:widowControl w:val="0"/>
        <w:tabs>
          <w:tab w:val="center" w:pos="4153"/>
          <w:tab w:val="right" w:pos="8306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3.事业单位实施渐进式延迟法定退休年龄改革情况、存在问题及对策研究</w:t>
      </w:r>
    </w:p>
    <w:p w14:paraId="49970A53">
      <w:pPr>
        <w:pStyle w:val="2"/>
        <w:keepNext w:val="0"/>
        <w:keepLines w:val="0"/>
        <w:pageBreakBefore w:val="0"/>
        <w:widowControl w:val="0"/>
        <w:tabs>
          <w:tab w:val="center" w:pos="4153"/>
          <w:tab w:val="right" w:pos="8306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2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4.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新就业形态劳动者养老保险参保机制研究</w:t>
      </w:r>
    </w:p>
    <w:p w14:paraId="0C2E2144">
      <w:pPr>
        <w:pStyle w:val="2"/>
        <w:keepNext w:val="0"/>
        <w:keepLines w:val="0"/>
        <w:pageBreakBefore w:val="0"/>
        <w:widowControl w:val="0"/>
        <w:tabs>
          <w:tab w:val="center" w:pos="4153"/>
          <w:tab w:val="right" w:pos="8306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2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5.城乡居民基本养老保险待遇动态调整机制研究‌</w:t>
      </w:r>
    </w:p>
    <w:p w14:paraId="0D8E4A81">
      <w:pPr>
        <w:pStyle w:val="2"/>
        <w:keepNext w:val="0"/>
        <w:keepLines w:val="0"/>
        <w:pageBreakBefore w:val="0"/>
        <w:widowControl w:val="0"/>
        <w:tabs>
          <w:tab w:val="center" w:pos="4153"/>
          <w:tab w:val="right" w:pos="8306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2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6.扩大企业年金覆盖范围路径研究</w:t>
      </w:r>
    </w:p>
    <w:p w14:paraId="59771BE4">
      <w:pPr>
        <w:pStyle w:val="2"/>
        <w:keepNext w:val="0"/>
        <w:keepLines w:val="0"/>
        <w:pageBreakBefore w:val="0"/>
        <w:widowControl w:val="0"/>
        <w:tabs>
          <w:tab w:val="center" w:pos="4153"/>
          <w:tab w:val="right" w:pos="8306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2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7.第三支柱养老保险产品创新与政策支持体系研究</w:t>
      </w:r>
    </w:p>
    <w:p w14:paraId="60AD3FB6">
      <w:pPr>
        <w:pStyle w:val="2"/>
        <w:keepNext w:val="0"/>
        <w:keepLines w:val="0"/>
        <w:pageBreakBefore w:val="0"/>
        <w:widowControl w:val="0"/>
        <w:tabs>
          <w:tab w:val="center" w:pos="4153"/>
          <w:tab w:val="right" w:pos="8306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2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8.商业保险与社会保险协同发展机制研究</w:t>
      </w:r>
    </w:p>
    <w:p w14:paraId="344FBE29">
      <w:pPr>
        <w:pStyle w:val="2"/>
        <w:keepNext w:val="0"/>
        <w:keepLines w:val="0"/>
        <w:pageBreakBefore w:val="0"/>
        <w:widowControl w:val="0"/>
        <w:tabs>
          <w:tab w:val="center" w:pos="4153"/>
          <w:tab w:val="right" w:pos="8306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2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9.金融机构养老财富管理服务与社保体系衔接机制‌研究</w:t>
      </w:r>
    </w:p>
    <w:p w14:paraId="4C5B1FD1">
      <w:pPr>
        <w:pStyle w:val="2"/>
        <w:keepNext w:val="0"/>
        <w:keepLines w:val="0"/>
        <w:pageBreakBefore w:val="0"/>
        <w:widowControl w:val="0"/>
        <w:tabs>
          <w:tab w:val="center" w:pos="4153"/>
          <w:tab w:val="right" w:pos="8306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2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color w:val="FF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10.建筑领域工伤预防机制研究</w:t>
      </w:r>
    </w:p>
    <w:p w14:paraId="38792C98">
      <w:pPr>
        <w:keepNext w:val="0"/>
        <w:keepLines w:val="0"/>
        <w:pageBreakBefore w:val="0"/>
        <w:tabs>
          <w:tab w:val="left" w:pos="6110"/>
        </w:tabs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eastAsia" w:ascii="楷体_GB2312" w:hAnsi="黑体" w:eastAsia="楷体_GB2312"/>
          <w:sz w:val="32"/>
          <w:szCs w:val="32"/>
          <w:lang w:eastAsia="zh-CN"/>
        </w:rPr>
      </w:pPr>
      <w:r>
        <w:rPr>
          <w:rFonts w:hint="eastAsia" w:ascii="楷体_GB2312" w:hAnsi="黑体" w:eastAsia="楷体_GB2312"/>
          <w:sz w:val="32"/>
          <w:szCs w:val="32"/>
          <w:lang w:eastAsia="zh-CN"/>
        </w:rPr>
        <w:t>（三）人才人事</w:t>
      </w:r>
    </w:p>
    <w:p w14:paraId="5ED7EA25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1.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完善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人才服务体系研究</w:t>
      </w:r>
    </w:p>
    <w:p w14:paraId="2FC333D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20" w:lineRule="exact"/>
        <w:textAlignment w:val="auto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　　2.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立</w:t>
      </w:r>
      <w:r>
        <w:rPr>
          <w:rFonts w:hint="eastAsia" w:ascii="Times New Roman" w:hAnsi="Times New Roman" w:eastAsia="仿宋_GB2312"/>
          <w:color w:val="auto"/>
          <w:spacing w:val="0"/>
          <w:sz w:val="32"/>
          <w:szCs w:val="32"/>
          <w:highlight w:val="none"/>
          <w:u w:val="none"/>
          <w:lang w:val="en-US" w:eastAsia="zh-CN"/>
        </w:rPr>
        <w:t>体化人才引育体系研究</w:t>
      </w:r>
    </w:p>
    <w:p w14:paraId="35213B81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eastAsia" w:ascii="Times New Roman" w:hAnsi="Times New Roman" w:eastAsia="仿宋_GB2312"/>
          <w:color w:val="auto"/>
          <w:spacing w:val="0"/>
          <w:sz w:val="32"/>
          <w:szCs w:val="32"/>
          <w:highlight w:val="none"/>
          <w:u w:val="none"/>
          <w:lang w:val="en-US" w:eastAsia="zh-CN"/>
        </w:rPr>
      </w:pPr>
      <w:r>
        <w:rPr>
          <w:rFonts w:hint="default" w:ascii="Times New Roman" w:hAnsi="Times New Roman" w:eastAsia="仿宋_GB2312"/>
          <w:color w:val="auto"/>
          <w:spacing w:val="0"/>
          <w:sz w:val="32"/>
          <w:szCs w:val="32"/>
          <w:highlight w:val="none"/>
          <w:u w:val="none"/>
          <w:lang w:val="en-US" w:eastAsia="zh-CN"/>
        </w:rPr>
        <w:t>3.</w:t>
      </w:r>
      <w:r>
        <w:rPr>
          <w:rFonts w:hint="eastAsia" w:ascii="Times New Roman" w:hAnsi="Times New Roman" w:eastAsia="仿宋_GB2312"/>
          <w:color w:val="auto"/>
          <w:spacing w:val="0"/>
          <w:sz w:val="32"/>
          <w:szCs w:val="32"/>
          <w:highlight w:val="none"/>
          <w:u w:val="none"/>
          <w:lang w:val="en-US" w:eastAsia="zh-CN"/>
        </w:rPr>
        <w:t>深化人才交流制度改革研究</w:t>
      </w:r>
    </w:p>
    <w:p w14:paraId="146C90A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eastAsia" w:ascii="Times New Roman" w:hAnsi="Times New Roman" w:eastAsia="仿宋_GB2312"/>
          <w:color w:val="auto"/>
          <w:spacing w:val="0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Times New Roman" w:hAnsi="Times New Roman" w:eastAsia="仿宋_GB2312"/>
          <w:color w:val="auto"/>
          <w:spacing w:val="0"/>
          <w:sz w:val="32"/>
          <w:szCs w:val="32"/>
          <w:highlight w:val="none"/>
          <w:u w:val="none"/>
          <w:lang w:val="en-US" w:eastAsia="zh-CN"/>
        </w:rPr>
        <w:t>4.深化人力资源服务增值化改革研究</w:t>
      </w:r>
    </w:p>
    <w:p w14:paraId="3432984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/>
          <w:color w:val="auto"/>
          <w:spacing w:val="0"/>
          <w:sz w:val="32"/>
          <w:szCs w:val="32"/>
          <w:highlight w:val="none"/>
          <w:u w:val="none"/>
          <w:lang w:val="en-US" w:eastAsia="zh-CN"/>
        </w:rPr>
        <w:t>5.项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目化职业技能培训模式研究</w:t>
      </w:r>
    </w:p>
    <w:p w14:paraId="23E9CEE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20" w:lineRule="exact"/>
        <w:ind w:left="638" w:leftChars="304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.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社会评价机构</w:t>
      </w:r>
      <w:r>
        <w:rPr>
          <w:rFonts w:hint="eastAsia" w:ascii="Times New Roman" w:hAnsi="Times New Roman" w:eastAsia="仿宋_GB2312"/>
          <w:color w:val="auto"/>
          <w:spacing w:val="0"/>
          <w:sz w:val="32"/>
          <w:szCs w:val="32"/>
          <w:highlight w:val="none"/>
          <w:u w:val="none"/>
          <w:lang w:val="en-US" w:eastAsia="zh-CN"/>
        </w:rPr>
        <w:t>职业技能等级认定问题及对策研究</w:t>
      </w:r>
    </w:p>
    <w:p w14:paraId="4E47FA97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20" w:lineRule="exact"/>
        <w:ind w:left="638" w:leftChars="304" w:firstLine="0" w:firstLineChars="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7.企业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“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新八级工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”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制度实施现状、问题及对策研究</w:t>
      </w:r>
    </w:p>
    <w:p w14:paraId="1497E6F2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20" w:lineRule="exact"/>
        <w:ind w:left="638" w:leftChars="304" w:firstLine="0" w:firstLineChars="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8.留学归国人员就业创业需求分析及对策研究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br w:type="textWrapping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9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.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深化技工院校校企合作、产教融合研究</w:t>
      </w:r>
    </w:p>
    <w:p w14:paraId="75C0133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20" w:lineRule="exact"/>
        <w:ind w:left="958" w:leftChars="304" w:hanging="320" w:hangingChars="1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.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国外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科技人才引育留用经验借鉴与启示研究</w:t>
      </w:r>
    </w:p>
    <w:p w14:paraId="6B053C43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20" w:lineRule="exact"/>
        <w:ind w:left="958" w:leftChars="304" w:hanging="320" w:hangingChars="100"/>
        <w:textAlignment w:val="auto"/>
        <w:rPr>
          <w:rFonts w:hint="eastAsia" w:ascii="楷体_GB2312" w:hAnsi="黑体" w:eastAsia="楷体_GB2312"/>
          <w:sz w:val="32"/>
          <w:szCs w:val="32"/>
          <w:lang w:eastAsia="zh-CN"/>
        </w:rPr>
      </w:pPr>
      <w:r>
        <w:rPr>
          <w:rFonts w:hint="eastAsia" w:ascii="楷体_GB2312" w:hAnsi="黑体" w:eastAsia="楷体_GB2312"/>
          <w:sz w:val="32"/>
          <w:szCs w:val="32"/>
          <w:lang w:eastAsia="zh-CN"/>
        </w:rPr>
        <w:t>（四）劳动关系</w:t>
      </w:r>
    </w:p>
    <w:p w14:paraId="18D64BF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20" w:lineRule="exact"/>
        <w:ind w:left="958" w:leftChars="304" w:hanging="320" w:hangingChars="1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1.</w:t>
      </w:r>
      <w:r>
        <w:rPr>
          <w:rFonts w:hint="eastAsia" w:ascii="Times New Roman" w:hAnsi="Times New Roman" w:eastAsia="仿宋_GB2312"/>
          <w:color w:val="auto"/>
          <w:spacing w:val="0"/>
          <w:sz w:val="32"/>
          <w:szCs w:val="32"/>
          <w:highlight w:val="none"/>
          <w:u w:val="none"/>
          <w:lang w:val="en-US" w:eastAsia="zh-CN"/>
        </w:rPr>
        <w:t>依托产业链供应链推进和谐劳动关系创建研究</w:t>
      </w:r>
    </w:p>
    <w:p w14:paraId="179C26D7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20" w:lineRule="exact"/>
        <w:ind w:left="958" w:leftChars="304" w:hanging="320" w:hangingChars="100"/>
        <w:textAlignment w:val="auto"/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2.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劳动关系领域社会稳定风险防范机制研究</w:t>
      </w:r>
    </w:p>
    <w:p w14:paraId="65E8581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20" w:lineRule="exact"/>
        <w:ind w:left="958" w:leftChars="304" w:hanging="320" w:hangingChars="1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3.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完善企业职工工资正常增长机制研究</w:t>
      </w:r>
    </w:p>
    <w:p w14:paraId="2E39E2B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20" w:lineRule="exact"/>
        <w:ind w:left="958" w:leftChars="304" w:hanging="320" w:hangingChars="1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4.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技能人才起点薪酬制度研究</w:t>
      </w:r>
    </w:p>
    <w:p w14:paraId="449E3A0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20" w:lineRule="exact"/>
        <w:ind w:left="958" w:leftChars="304" w:hanging="320" w:hangingChars="1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5.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新生代农民工职业发展问题及对策研究</w:t>
      </w:r>
    </w:p>
    <w:p w14:paraId="3BC6D078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20" w:lineRule="exact"/>
        <w:ind w:left="958" w:leftChars="304" w:hanging="320" w:hangingChars="1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6.</w:t>
      </w:r>
      <w:r>
        <w:rPr>
          <w:rFonts w:hint="eastAsia" w:ascii="Times New Roman" w:hAnsi="Times New Roman" w:eastAsia="仿宋_GB2312"/>
          <w:color w:val="auto"/>
          <w:spacing w:val="0"/>
          <w:sz w:val="32"/>
          <w:szCs w:val="32"/>
          <w:highlight w:val="none"/>
          <w:u w:val="none"/>
          <w:lang w:val="en-US" w:eastAsia="zh-CN"/>
        </w:rPr>
        <w:t>优化</w:t>
      </w:r>
      <w:r>
        <w:rPr>
          <w:rFonts w:hint="eastAsia" w:ascii="仿宋_GB2312" w:hAnsi="仿宋_GB2312" w:eastAsia="仿宋_GB2312" w:cs="仿宋_GB2312"/>
          <w:color w:val="auto"/>
          <w:spacing w:val="0"/>
          <w:sz w:val="32"/>
          <w:szCs w:val="32"/>
          <w:highlight w:val="none"/>
          <w:u w:val="none"/>
          <w:lang w:val="en-US" w:eastAsia="zh-CN"/>
        </w:rPr>
        <w:t>“</w:t>
      </w:r>
      <w:r>
        <w:rPr>
          <w:rFonts w:hint="eastAsia" w:ascii="Times New Roman" w:hAnsi="Times New Roman" w:eastAsia="仿宋_GB2312"/>
          <w:color w:val="auto"/>
          <w:spacing w:val="0"/>
          <w:sz w:val="32"/>
          <w:szCs w:val="32"/>
          <w:highlight w:val="none"/>
          <w:u w:val="none"/>
          <w:lang w:val="en-US" w:eastAsia="zh-CN"/>
        </w:rPr>
        <w:t>开工第一课</w:t>
      </w:r>
      <w:r>
        <w:rPr>
          <w:rFonts w:hint="eastAsia" w:ascii="仿宋_GB2312" w:hAnsi="仿宋_GB2312" w:eastAsia="仿宋_GB2312" w:cs="仿宋_GB2312"/>
          <w:color w:val="auto"/>
          <w:spacing w:val="0"/>
          <w:sz w:val="32"/>
          <w:szCs w:val="32"/>
          <w:highlight w:val="none"/>
          <w:u w:val="none"/>
          <w:lang w:val="en-US" w:eastAsia="zh-CN"/>
        </w:rPr>
        <w:t>”服务体系</w:t>
      </w:r>
      <w:r>
        <w:rPr>
          <w:rFonts w:hint="eastAsia" w:ascii="Times New Roman" w:hAnsi="Times New Roman" w:eastAsia="仿宋_GB2312"/>
          <w:color w:val="auto"/>
          <w:spacing w:val="0"/>
          <w:sz w:val="32"/>
          <w:szCs w:val="32"/>
          <w:highlight w:val="none"/>
          <w:u w:val="none"/>
          <w:lang w:val="en-US" w:eastAsia="zh-CN"/>
        </w:rPr>
        <w:t>研究</w:t>
      </w:r>
    </w:p>
    <w:p w14:paraId="3FECFFF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20" w:lineRule="exact"/>
        <w:ind w:left="958" w:leftChars="304" w:hanging="320" w:hangingChars="1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7.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完善新就业形态劳动争议多元化解机制研究</w:t>
      </w:r>
    </w:p>
    <w:p w14:paraId="6C41805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20" w:lineRule="exact"/>
        <w:ind w:left="958" w:leftChars="304" w:hanging="320" w:hangingChars="1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8.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重点行业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欠薪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协同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治理研究</w:t>
      </w:r>
    </w:p>
    <w:p w14:paraId="05F36A51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20" w:lineRule="exact"/>
        <w:ind w:left="958" w:leftChars="304" w:hanging="320" w:hangingChars="1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9.新形势下劳动关系理论探索研究</w:t>
      </w:r>
    </w:p>
    <w:p w14:paraId="2FEB3B2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10.外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国人来华工作劳动法律问题研究</w:t>
      </w:r>
    </w:p>
    <w:p w14:paraId="1332DF76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2312">
    <w:altName w:val="仿宋"/>
    <w:panose1 w:val="02000000000000000000"/>
    <w:charset w:val="00"/>
    <w:family w:val="auto"/>
    <w:pitch w:val="default"/>
    <w:sig w:usb0="00000000" w:usb1="00000000" w:usb2="00000012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98DC011"/>
    <w:multiLevelType w:val="singleLevel"/>
    <w:tmpl w:val="E98DC011"/>
    <w:lvl w:ilvl="0" w:tentative="0">
      <w:start w:val="2"/>
      <w:numFmt w:val="chineseCounting"/>
      <w:suff w:val="nothing"/>
      <w:lvlText w:val="%1、"/>
      <w:lvlJc w:val="left"/>
      <w:pPr>
        <w:ind w:left="640" w:firstLine="0"/>
      </w:pPr>
      <w:rPr>
        <w:rFonts w:hint="eastAsia"/>
      </w:rPr>
    </w:lvl>
  </w:abstractNum>
  <w:abstractNum w:abstractNumId="1">
    <w:nsid w:val="EFFEA672"/>
    <w:multiLevelType w:val="singleLevel"/>
    <w:tmpl w:val="EFFEA672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FDBE8B9A"/>
    <w:multiLevelType w:val="singleLevel"/>
    <w:tmpl w:val="FDBE8B9A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3">
    <w:nsid w:val="75DB8FE4"/>
    <w:multiLevelType w:val="singleLevel"/>
    <w:tmpl w:val="75DB8FE4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44731B"/>
    <w:rsid w:val="32447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3"/>
    <w:qFormat/>
    <w:uiPriority w:val="99"/>
    <w:pPr>
      <w:keepNext w:val="0"/>
      <w:keepLines w:val="0"/>
      <w:widowControl w:val="0"/>
      <w:suppressLineNumbers w:val="0"/>
      <w:snapToGrid w:val="0"/>
      <w:spacing w:before="0" w:beforeAutospacing="0" w:after="0" w:afterAutospacing="0"/>
      <w:ind w:left="0" w:right="0"/>
      <w:jc w:val="left"/>
    </w:pPr>
    <w:rPr>
      <w:rFonts w:hint="default" w:ascii="Calibri" w:hAnsi="Calibri" w:eastAsia="宋体" w:cs="Times New Roman"/>
      <w:kern w:val="2"/>
      <w:sz w:val="18"/>
      <w:szCs w:val="18"/>
      <w:lang w:val="en-US" w:eastAsia="zh-CN" w:bidi="ar"/>
    </w:rPr>
  </w:style>
  <w:style w:type="paragraph" w:styleId="3">
    <w:name w:val="header"/>
    <w:basedOn w:val="1"/>
    <w:next w:val="4"/>
    <w:semiHidden/>
    <w:qFormat/>
    <w:uiPriority w:val="99"/>
    <w:pPr>
      <w:keepNext w:val="0"/>
      <w:keepLines w:val="0"/>
      <w:widowControl w:val="0"/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napToGrid w:val="0"/>
      <w:spacing w:before="0" w:beforeAutospacing="0" w:after="0" w:afterAutospacing="0"/>
      <w:ind w:left="0" w:right="0"/>
      <w:jc w:val="both"/>
    </w:pPr>
    <w:rPr>
      <w:rFonts w:hint="default" w:ascii="Calibri" w:hAnsi="Calibri" w:eastAsia="宋体" w:cs="Times New Roman"/>
      <w:kern w:val="2"/>
      <w:sz w:val="18"/>
      <w:szCs w:val="18"/>
      <w:lang w:val="en-US" w:eastAsia="zh-CN" w:bidi="ar"/>
    </w:rPr>
  </w:style>
  <w:style w:type="paragraph" w:styleId="4">
    <w:name w:val="Body Text"/>
    <w:basedOn w:val="1"/>
    <w:next w:val="2"/>
    <w:qFormat/>
    <w:uiPriority w:val="99"/>
    <w:pPr>
      <w:spacing w:after="140" w:line="276" w:lineRule="auto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2025-04-02T06:05:00Z</dcterms:created>
  <dc:creator>陆诗钊</dc:creator>
  <cp:lastModifiedBy>陆诗钊</cp:lastModifiedBy>
  <dcterms:modified xsi:type="dcterms:W3CDTF">2025-04-02T06:06:05Z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05A0206D6B7E45FF92C36D1D3F2DA68D_11</vt:lpwstr>
  </property>
  <property fmtid="{D5CDD505-2E9C-101B-9397-08002B2CF9AE}" pid="4" name="KSOTemplateDocerSaveRecord">
    <vt:lpwstr>eyJoZGlkIjoiNTIzYjg3MGRkZWExMDFkOGM1N2E3NDFlOGM5NmExZDAiLCJ1c2VySWQiOiIxNjgyMjA1ODQxIn0=</vt:lpwstr>
  </property>
</Properties>
</file>